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jc w:val="center"/>
        <w:rPr>
          <w:rFonts w:ascii="仿宋_GB2312" w:eastAsia="仿宋_GB2312"/>
          <w:sz w:val="28"/>
          <w:szCs w:val="28"/>
        </w:rPr>
      </w:pPr>
      <w:r>
        <w:rPr>
          <w:rFonts w:hint="eastAsia" w:ascii="仿宋_GB2312" w:eastAsia="仿宋_GB2312"/>
          <w:sz w:val="28"/>
          <w:szCs w:val="28"/>
        </w:rPr>
        <w:t>（货物类）</w:t>
      </w:r>
    </w:p>
    <w:p>
      <w:pPr>
        <w:pStyle w:val="2"/>
        <w:rPr>
          <w:rFonts w:ascii="仿宋_GB2312" w:eastAsia="仿宋_GB2312"/>
          <w:sz w:val="28"/>
          <w:szCs w:val="28"/>
        </w:rPr>
      </w:pPr>
    </w:p>
    <w:p>
      <w:pPr>
        <w:pStyle w:val="2"/>
        <w:rPr>
          <w:rFonts w:ascii="仿宋_GB2312" w:eastAsia="仿宋_GB2312"/>
          <w:sz w:val="28"/>
          <w:szCs w:val="28"/>
        </w:rPr>
      </w:pPr>
    </w:p>
    <w:p>
      <w:pPr>
        <w:tabs>
          <w:tab w:val="left" w:pos="315"/>
          <w:tab w:val="left" w:pos="8820"/>
        </w:tabs>
        <w:spacing w:line="2680" w:lineRule="exact"/>
        <w:ind w:right="267" w:rightChars="127"/>
        <w:jc w:val="center"/>
        <w:rPr>
          <w:rFonts w:ascii="仿宋_GB2312" w:eastAsia="仿宋_GB2312"/>
          <w:b/>
          <w:bCs/>
          <w:sz w:val="32"/>
        </w:rPr>
      </w:pPr>
      <w:r>
        <w:rPr>
          <w:rFonts w:ascii="仿宋_GB2312" w:eastAsia="仿宋_GB2312"/>
          <w:b/>
          <w:bCs/>
          <w:sz w:val="32"/>
        </w:rPr>
        <w:drawing>
          <wp:inline distT="0" distB="0" distL="0" distR="0">
            <wp:extent cx="914400" cy="933450"/>
            <wp:effectExtent l="0" t="0" r="0" b="0"/>
            <wp:docPr id="2" name="图片 2" descr="C:\Users\Administrator\AppData\Roaming\Tencent\Users\214989050\QQ\WinTemp\RichOle\7B32QC~KXZWAHCLQ8}CPF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214989050\QQ\WinTemp\RichOle\7B32QC~KXZWAHCLQ8}CPF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933450"/>
                    </a:xfrm>
                    <a:prstGeom prst="rect">
                      <a:avLst/>
                    </a:prstGeom>
                    <a:noFill/>
                    <a:ln>
                      <a:noFill/>
                    </a:ln>
                  </pic:spPr>
                </pic:pic>
              </a:graphicData>
            </a:graphic>
          </wp:inline>
        </w:drawing>
      </w:r>
    </w:p>
    <w:p>
      <w:pPr>
        <w:tabs>
          <w:tab w:val="left" w:pos="315"/>
          <w:tab w:val="left" w:pos="8820"/>
        </w:tabs>
        <w:spacing w:before="312" w:beforeLines="100" w:after="156" w:afterLines="50" w:line="500" w:lineRule="exact"/>
        <w:ind w:right="267" w:rightChars="127"/>
        <w:jc w:val="center"/>
        <w:rPr>
          <w:rFonts w:ascii="仿宋_GB2312" w:eastAsia="仿宋_GB2312"/>
          <w:sz w:val="44"/>
        </w:rPr>
      </w:pPr>
      <w:r>
        <w:rPr>
          <w:rFonts w:hint="eastAsia" w:ascii="Arial Black" w:hAnsi="Arial Black" w:eastAsia="华文彩云"/>
          <w:sz w:val="44"/>
        </w:rPr>
        <w:t xml:space="preserve"> </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left"/>
        <w:rPr>
          <w:rFonts w:hint="eastAsia"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项目名称：</w:t>
      </w:r>
      <w:r>
        <w:rPr>
          <w:rFonts w:hint="eastAsia" w:ascii="宋体" w:hAnsi="DotumChe" w:cs="宋体"/>
          <w:b/>
          <w:spacing w:val="20"/>
          <w:kern w:val="0"/>
          <w:sz w:val="28"/>
          <w:szCs w:val="28"/>
          <w:lang w:eastAsia="zh-CN"/>
        </w:rPr>
        <w:t>皖西卫生职业学院附属医院病理科封片机采购项目</w:t>
      </w: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项目编号：</w:t>
      </w:r>
      <w:r>
        <w:rPr>
          <w:rFonts w:hint="eastAsia" w:ascii="宋体" w:hAnsi="DotumChe" w:cs="宋体"/>
          <w:b/>
          <w:spacing w:val="20"/>
          <w:kern w:val="0"/>
          <w:sz w:val="28"/>
          <w:szCs w:val="28"/>
          <w:lang w:val="en-US" w:eastAsia="zh-CN"/>
        </w:rPr>
        <w:t>AHTF-2021003N</w:t>
      </w:r>
      <w:r>
        <w:rPr>
          <w:rFonts w:hint="eastAsia" w:ascii="宋体" w:hAnsi="DotumChe" w:cs="宋体"/>
          <w:b/>
          <w:spacing w:val="20"/>
          <w:kern w:val="0"/>
          <w:sz w:val="28"/>
          <w:szCs w:val="28"/>
        </w:rPr>
        <w:t xml:space="preserve">　　   </w:t>
      </w: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　</w:t>
      </w:r>
    </w:p>
    <w:p>
      <w:pPr>
        <w:tabs>
          <w:tab w:val="left" w:pos="2410"/>
        </w:tabs>
        <w:autoSpaceDE w:val="0"/>
        <w:autoSpaceDN w:val="0"/>
        <w:adjustRightInd w:val="0"/>
        <w:snapToGrid w:val="0"/>
        <w:spacing w:line="360" w:lineRule="auto"/>
        <w:ind w:firstLine="947" w:firstLineChars="295"/>
        <w:jc w:val="left"/>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tabs>
          <w:tab w:val="left" w:pos="2410"/>
        </w:tabs>
        <w:autoSpaceDE w:val="0"/>
        <w:autoSpaceDN w:val="0"/>
        <w:adjustRightInd w:val="0"/>
        <w:snapToGrid w:val="0"/>
        <w:spacing w:line="360" w:lineRule="auto"/>
        <w:ind w:firstLine="947" w:firstLineChars="295"/>
        <w:jc w:val="left"/>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采购时间：</w:t>
      </w:r>
      <w:r>
        <w:rPr>
          <w:rFonts w:hint="eastAsia" w:ascii="宋体" w:hAnsi="DotumChe" w:cs="宋体"/>
          <w:b/>
          <w:spacing w:val="20"/>
          <w:kern w:val="0"/>
          <w:sz w:val="28"/>
          <w:szCs w:val="28"/>
          <w:lang w:val="en-US" w:eastAsia="zh-CN"/>
        </w:rPr>
        <w:t>2021年1月</w:t>
      </w:r>
    </w:p>
    <w:p>
      <w:pPr>
        <w:spacing w:line="360" w:lineRule="auto"/>
        <w:rPr>
          <w:sz w:val="32"/>
          <w:szCs w:val="32"/>
        </w:rPr>
      </w:pPr>
    </w:p>
    <w:p>
      <w:pPr>
        <w:jc w:val="center"/>
        <w:rPr>
          <w:b/>
          <w:sz w:val="28"/>
          <w:szCs w:val="28"/>
        </w:rPr>
      </w:pPr>
      <w:r>
        <w:rPr>
          <w:rFonts w:hint="eastAsia"/>
          <w:b/>
          <w:sz w:val="28"/>
          <w:szCs w:val="28"/>
        </w:rPr>
        <w:br w:type="page"/>
      </w:r>
    </w:p>
    <w:p>
      <w:pPr>
        <w:jc w:val="center"/>
        <w:rPr>
          <w:rFonts w:ascii="宋体" w:hAnsi="宋体" w:cs="宋体"/>
          <w:sz w:val="36"/>
          <w:szCs w:val="36"/>
        </w:rPr>
      </w:pPr>
      <w:r>
        <w:rPr>
          <w:rFonts w:hint="eastAsia" w:ascii="宋体" w:hAnsi="宋体" w:cs="宋体"/>
          <w:b/>
          <w:sz w:val="36"/>
          <w:szCs w:val="36"/>
        </w:rPr>
        <w:t>目  录</w:t>
      </w:r>
    </w:p>
    <w:p>
      <w:pPr>
        <w:pStyle w:val="26"/>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18</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19</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3"/>
        <w:ind w:firstLine="2923" w:firstLineChars="1040"/>
        <w:rPr>
          <w:sz w:val="28"/>
          <w:szCs w:val="28"/>
        </w:rPr>
      </w:pPr>
      <w:bookmarkStart w:id="0" w:name="_Toc363199264"/>
      <w:bookmarkStart w:id="1" w:name="_Toc216158623"/>
      <w:r>
        <w:rPr>
          <w:rFonts w:hint="eastAsia"/>
          <w:sz w:val="28"/>
          <w:szCs w:val="28"/>
        </w:rPr>
        <w:br w:type="page"/>
      </w:r>
    </w:p>
    <w:p>
      <w:pPr>
        <w:tabs>
          <w:tab w:val="left" w:pos="2410"/>
        </w:tabs>
        <w:autoSpaceDE w:val="0"/>
        <w:autoSpaceDN w:val="0"/>
        <w:adjustRightInd w:val="0"/>
        <w:snapToGrid w:val="0"/>
        <w:spacing w:line="360" w:lineRule="auto"/>
        <w:ind w:firstLine="947" w:firstLineChars="295"/>
        <w:jc w:val="left"/>
        <w:rPr>
          <w:rFonts w:hint="eastAsia" w:ascii="宋体" w:hAnsi="DotumChe" w:eastAsia="宋体" w:cs="宋体"/>
          <w:b/>
          <w:spacing w:val="20"/>
          <w:kern w:val="0"/>
          <w:sz w:val="28"/>
          <w:szCs w:val="28"/>
          <w:lang w:val="en-US" w:eastAsia="zh-CN"/>
        </w:rPr>
      </w:pPr>
      <w:bookmarkStart w:id="2" w:name="_Toc28359011"/>
      <w:bookmarkStart w:id="3" w:name="_Toc35393797"/>
      <w:bookmarkStart w:id="49" w:name="_GoBack"/>
      <w:r>
        <w:rPr>
          <w:rFonts w:hint="eastAsia" w:ascii="宋体" w:hAnsi="DotumChe" w:cs="宋体"/>
          <w:b/>
          <w:spacing w:val="20"/>
          <w:kern w:val="0"/>
          <w:sz w:val="28"/>
          <w:szCs w:val="28"/>
          <w:lang w:eastAsia="zh-CN"/>
        </w:rPr>
        <w:t>皖西卫生职业学院附属医院病理科封片机采购项目</w:t>
      </w:r>
    </w:p>
    <w:p>
      <w:pPr>
        <w:tabs>
          <w:tab w:val="left" w:pos="2410"/>
        </w:tabs>
        <w:autoSpaceDE w:val="0"/>
        <w:autoSpaceDN w:val="0"/>
        <w:adjustRightInd w:val="0"/>
        <w:snapToGrid w:val="0"/>
        <w:spacing w:line="360" w:lineRule="auto"/>
        <w:jc w:val="center"/>
        <w:rPr>
          <w:rFonts w:hint="eastAsia" w:ascii="华文中宋" w:hAnsi="华文中宋" w:eastAsia="华文中宋" w:cs="Times New Roman"/>
          <w:b/>
          <w:bCs/>
          <w:kern w:val="44"/>
          <w:sz w:val="28"/>
          <w:szCs w:val="28"/>
          <w:lang w:val="en-US" w:eastAsia="zh-CN" w:bidi="ar-SA"/>
        </w:rPr>
      </w:pPr>
      <w:r>
        <w:rPr>
          <w:rFonts w:hint="eastAsia" w:ascii="宋体" w:hAnsi="DotumChe" w:cs="宋体"/>
          <w:b/>
          <w:spacing w:val="20"/>
          <w:kern w:val="0"/>
          <w:sz w:val="28"/>
          <w:szCs w:val="28"/>
          <w:lang w:val="en-US" w:eastAsia="zh-CN"/>
        </w:rPr>
        <w:t>竞争性谈判公告</w:t>
      </w:r>
      <w:bookmarkEnd w:id="2"/>
      <w:bookmarkEnd w:id="3"/>
    </w:p>
    <w:p>
      <w:pPr>
        <w:widowControl/>
        <w:pBdr>
          <w:top w:val="single" w:color="auto" w:sz="4" w:space="1"/>
          <w:left w:val="single" w:color="auto" w:sz="4" w:space="4"/>
          <w:bottom w:val="single" w:color="auto" w:sz="4" w:space="1"/>
          <w:right w:val="single" w:color="auto" w:sz="4" w:space="0"/>
        </w:pBdr>
        <w:spacing w:line="360" w:lineRule="auto"/>
        <w:ind w:left="900" w:firstLine="482" w:firstLineChars="200"/>
        <w:jc w:val="left"/>
        <w:rPr>
          <w:rFonts w:ascii="Calibri" w:hAnsi="Calibri"/>
          <w:sz w:val="24"/>
          <w:szCs w:val="24"/>
        </w:rPr>
      </w:pPr>
      <w:r>
        <w:rPr>
          <w:rFonts w:hint="eastAsia" w:ascii="宋体" w:hAnsi="宋体" w:cs="宋体"/>
          <w:b/>
          <w:color w:val="333333"/>
          <w:sz w:val="24"/>
          <w:szCs w:val="24"/>
          <w:u w:val="single"/>
          <w:shd w:val="clear" w:color="auto" w:fill="FFFFFF"/>
          <w:lang w:bidi="ar"/>
        </w:rPr>
        <w:t>项目概况：</w:t>
      </w:r>
      <w:r>
        <w:rPr>
          <w:rFonts w:hint="eastAsia" w:ascii="宋体" w:hAnsi="宋体" w:cs="宋体"/>
          <w:b/>
          <w:color w:val="333333"/>
          <w:sz w:val="24"/>
          <w:szCs w:val="24"/>
          <w:u w:val="single"/>
          <w:shd w:val="clear" w:color="auto" w:fill="FFFFFF"/>
          <w:lang w:eastAsia="zh-CN" w:bidi="ar"/>
        </w:rPr>
        <w:t>皖西卫生职业学院附属医院病理科封片机采购项目</w:t>
      </w:r>
      <w:r>
        <w:rPr>
          <w:rFonts w:hint="eastAsia" w:ascii="宋体" w:hAnsi="宋体" w:cs="宋体"/>
          <w:color w:val="333333"/>
          <w:sz w:val="24"/>
          <w:szCs w:val="24"/>
          <w:shd w:val="clear" w:color="auto" w:fill="FFFFFF"/>
          <w:lang w:bidi="ar"/>
        </w:rPr>
        <w:t>招标项目的潜在供应商应在皖西卫生职业学院附属医院官网（http://www.laey.net/cn/list_2969.aspx）查看招标公告，并在</w:t>
      </w:r>
      <w:r>
        <w:rPr>
          <w:rFonts w:hint="eastAsia" w:ascii="宋体" w:hAnsi="宋体" w:cs="宋体"/>
          <w:color w:val="333333"/>
          <w:sz w:val="24"/>
          <w:szCs w:val="24"/>
          <w:u w:val="single"/>
          <w:shd w:val="clear" w:color="auto" w:fill="FFFFFF"/>
          <w:lang w:bidi="ar"/>
        </w:rPr>
        <w:t>皖西卫生职业学院附属医院</w:t>
      </w:r>
      <w:r>
        <w:rPr>
          <w:rFonts w:hint="eastAsia" w:ascii="宋体" w:hAnsi="宋体" w:cs="宋体"/>
          <w:color w:val="333333"/>
          <w:sz w:val="24"/>
          <w:szCs w:val="24"/>
          <w:u w:val="single"/>
          <w:shd w:val="clear" w:color="auto" w:fill="FFFFFF"/>
          <w:lang w:val="en-US" w:eastAsia="zh-CN" w:bidi="ar"/>
        </w:rPr>
        <w:t>官网下载竞争性谈判</w:t>
      </w:r>
      <w:r>
        <w:rPr>
          <w:rFonts w:hint="eastAsia" w:ascii="宋体" w:hAnsi="宋体" w:cs="宋体"/>
          <w:color w:val="333333"/>
          <w:sz w:val="24"/>
          <w:szCs w:val="24"/>
          <w:u w:val="single"/>
          <w:shd w:val="clear" w:color="auto" w:fill="FFFFFF"/>
          <w:lang w:bidi="ar"/>
        </w:rPr>
        <w:t>文件，于202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u w:val="single"/>
          <w:shd w:val="clear" w:color="auto" w:fill="FFFFFF"/>
          <w:lang w:bidi="ar"/>
        </w:rPr>
        <w:t>年</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u w:val="single"/>
          <w:shd w:val="clear" w:color="auto" w:fill="FFFFFF"/>
          <w:lang w:bidi="ar"/>
        </w:rPr>
        <w:t>月</w:t>
      </w:r>
      <w:r>
        <w:rPr>
          <w:rFonts w:hint="eastAsia" w:ascii="宋体" w:hAnsi="宋体" w:cs="宋体"/>
          <w:color w:val="333333"/>
          <w:sz w:val="24"/>
          <w:szCs w:val="24"/>
          <w:u w:val="single"/>
          <w:shd w:val="clear" w:color="auto" w:fill="FFFFFF"/>
          <w:lang w:val="en-US" w:eastAsia="zh-CN" w:bidi="ar"/>
        </w:rPr>
        <w:t>14</w:t>
      </w:r>
      <w:r>
        <w:rPr>
          <w:rFonts w:hint="eastAsia" w:ascii="宋体" w:hAnsi="宋体" w:cs="宋体"/>
          <w:color w:val="333333"/>
          <w:sz w:val="24"/>
          <w:szCs w:val="24"/>
          <w:u w:val="single"/>
          <w:shd w:val="clear" w:color="auto" w:fill="FFFFFF"/>
          <w:lang w:bidi="ar"/>
        </w:rPr>
        <w:t>日</w:t>
      </w:r>
      <w:r>
        <w:rPr>
          <w:rFonts w:hint="eastAsia" w:ascii="宋体" w:hAnsi="宋体" w:cs="宋体"/>
          <w:color w:val="333333"/>
          <w:sz w:val="24"/>
          <w:szCs w:val="24"/>
          <w:u w:val="single"/>
          <w:shd w:val="clear" w:color="auto" w:fill="FFFFFF"/>
          <w:lang w:val="en-US" w:eastAsia="zh-CN" w:bidi="ar"/>
        </w:rPr>
        <w:t>09</w:t>
      </w:r>
      <w:r>
        <w:rPr>
          <w:rFonts w:hint="eastAsia" w:ascii="宋体" w:hAnsi="宋体" w:cs="宋体"/>
          <w:color w:val="333333"/>
          <w:sz w:val="24"/>
          <w:szCs w:val="24"/>
          <w:u w:val="single"/>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u w:val="single"/>
          <w:shd w:val="clear" w:color="auto" w:fill="FFFFFF"/>
          <w:lang w:bidi="ar"/>
        </w:rPr>
        <w:t>分（北京时间）前递交</w:t>
      </w:r>
      <w:r>
        <w:rPr>
          <w:rFonts w:hint="eastAsia" w:ascii="宋体" w:hAnsi="宋体" w:cs="宋体"/>
          <w:color w:val="333333"/>
          <w:sz w:val="24"/>
          <w:szCs w:val="24"/>
          <w:u w:val="single"/>
          <w:shd w:val="clear" w:color="auto" w:fill="FFFFFF"/>
          <w:lang w:eastAsia="zh-CN" w:bidi="ar"/>
        </w:rPr>
        <w:t>响应文件</w:t>
      </w:r>
      <w:r>
        <w:rPr>
          <w:rFonts w:hint="eastAsia" w:ascii="宋体" w:hAnsi="宋体" w:cs="宋体"/>
          <w:color w:val="333333"/>
          <w:sz w:val="24"/>
          <w:szCs w:val="24"/>
          <w:u w:val="single"/>
          <w:shd w:val="clear" w:color="auto" w:fill="FFFFFF"/>
          <w:lang w:bidi="ar"/>
        </w:rPr>
        <w:t>。</w:t>
      </w:r>
    </w:p>
    <w:p>
      <w:pPr>
        <w:pStyle w:val="40"/>
        <w:rPr>
          <w:rFonts w:hint="eastAsia"/>
          <w:lang w:val="en-US" w:eastAsia="zh-CN"/>
        </w:rPr>
      </w:pP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cs="宋体"/>
          <w:b/>
          <w:color w:val="333333"/>
          <w:kern w:val="0"/>
          <w:sz w:val="24"/>
          <w:szCs w:val="24"/>
          <w:shd w:val="clear" w:color="auto" w:fill="FFFFFF"/>
        </w:rPr>
        <w:t>一、项目基本情况</w:t>
      </w:r>
    </w:p>
    <w:p>
      <w:pPr>
        <w:widowControl/>
        <w:spacing w:line="560" w:lineRule="exact"/>
        <w:jc w:val="left"/>
        <w:rPr>
          <w:rFonts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1、项目编号：</w:t>
      </w:r>
      <w:r>
        <w:rPr>
          <w:rFonts w:hint="eastAsia" w:ascii="宋体" w:hAnsi="宋体" w:cs="宋体" w:eastAsiaTheme="minorEastAsia"/>
          <w:color w:val="333333"/>
          <w:sz w:val="24"/>
          <w:szCs w:val="24"/>
          <w:shd w:val="clear" w:color="auto" w:fill="FFFFFF"/>
          <w:lang w:val="en-US" w:eastAsia="zh-CN" w:bidi="ar"/>
        </w:rPr>
        <w:t>AHTF-2021003N</w:t>
      </w:r>
      <w:r>
        <w:rPr>
          <w:rFonts w:hint="eastAsia" w:ascii="宋体" w:hAnsi="宋体" w:cs="宋体" w:eastAsiaTheme="minorEastAsia"/>
          <w:color w:val="333333"/>
          <w:sz w:val="24"/>
          <w:szCs w:val="24"/>
          <w:shd w:val="clear" w:color="auto" w:fill="FFFFFF"/>
          <w:lang w:bidi="ar"/>
        </w:rPr>
        <w:t>　</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2、项目名称：</w:t>
      </w:r>
      <w:r>
        <w:rPr>
          <w:rFonts w:hint="eastAsia" w:ascii="宋体" w:hAnsi="宋体" w:cs="宋体" w:eastAsiaTheme="minorEastAsia"/>
          <w:color w:val="333333"/>
          <w:sz w:val="24"/>
          <w:szCs w:val="24"/>
          <w:shd w:val="clear" w:color="auto" w:fill="FFFFFF"/>
          <w:lang w:eastAsia="zh-CN" w:bidi="ar"/>
        </w:rPr>
        <w:t>皖西卫生职业学院附属医院病理科封片机采购项目</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3、项目类型：</w:t>
      </w:r>
      <w:r>
        <w:rPr>
          <w:rFonts w:hint="eastAsia" w:ascii="宋体" w:hAnsi="宋体" w:cs="宋体" w:eastAsiaTheme="minorEastAsia"/>
          <w:color w:val="333333"/>
          <w:sz w:val="24"/>
          <w:szCs w:val="24"/>
          <w:shd w:val="clear" w:color="auto" w:fill="FFFFFF"/>
          <w:lang w:val="en-US" w:eastAsia="zh-CN" w:bidi="ar"/>
        </w:rPr>
        <w:t>货物类</w:t>
      </w:r>
    </w:p>
    <w:p>
      <w:pPr>
        <w:widowControl/>
        <w:spacing w:beforeAutospacing="0" w:afterAutospacing="0" w:line="560" w:lineRule="exact"/>
        <w:jc w:val="both"/>
        <w:rPr>
          <w:rFonts w:ascii="宋体" w:hAnsi="宋体" w:cs="宋体" w:eastAsiaTheme="minorEastAsia"/>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4、采购方式：竞争性谈判</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5、资金来源：</w:t>
      </w:r>
      <w:r>
        <w:rPr>
          <w:rFonts w:hint="eastAsia" w:ascii="宋体" w:hAnsi="宋体" w:cs="宋体" w:eastAsiaTheme="minorEastAsia"/>
          <w:color w:val="333333"/>
          <w:sz w:val="24"/>
          <w:szCs w:val="24"/>
          <w:shd w:val="clear" w:color="auto" w:fill="FFFFFF"/>
          <w:lang w:val="en-US" w:eastAsia="zh-CN" w:bidi="ar"/>
        </w:rPr>
        <w:t>自筹资金</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6</w:t>
      </w:r>
      <w:r>
        <w:rPr>
          <w:rFonts w:hint="eastAsia" w:ascii="宋体" w:hAnsi="宋体" w:cs="宋体" w:eastAsiaTheme="minorEastAsia"/>
          <w:color w:val="333333"/>
          <w:sz w:val="24"/>
          <w:szCs w:val="24"/>
          <w:shd w:val="clear" w:color="auto" w:fill="FFFFFF"/>
          <w:lang w:bidi="ar"/>
        </w:rPr>
        <w:t>、最高限价：</w:t>
      </w:r>
      <w:r>
        <w:rPr>
          <w:rFonts w:hint="eastAsia" w:ascii="宋体" w:hAnsi="宋体" w:cs="宋体" w:eastAsiaTheme="minorEastAsia"/>
          <w:color w:val="333333"/>
          <w:sz w:val="24"/>
          <w:szCs w:val="24"/>
          <w:shd w:val="clear" w:color="auto" w:fill="FFFFFF"/>
          <w:lang w:val="en-US" w:eastAsia="zh-CN" w:bidi="ar"/>
        </w:rPr>
        <w:t>28.5万元</w:t>
      </w:r>
    </w:p>
    <w:bookmarkEnd w:id="49"/>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7</w:t>
      </w:r>
      <w:r>
        <w:rPr>
          <w:rFonts w:hint="eastAsia" w:ascii="宋体" w:hAnsi="宋体" w:cs="宋体" w:eastAsiaTheme="minorEastAsia"/>
          <w:color w:val="333333"/>
          <w:sz w:val="24"/>
          <w:szCs w:val="24"/>
          <w:shd w:val="clear" w:color="auto" w:fill="FFFFFF"/>
          <w:lang w:bidi="ar"/>
        </w:rPr>
        <w:t>、采购需求：具体</w:t>
      </w:r>
      <w:r>
        <w:rPr>
          <w:rFonts w:hint="eastAsia" w:ascii="宋体" w:hAnsi="宋体" w:cs="宋体" w:eastAsiaTheme="minorEastAsia"/>
          <w:color w:val="333333"/>
          <w:sz w:val="24"/>
          <w:szCs w:val="24"/>
          <w:shd w:val="clear" w:color="auto" w:fill="FFFFFF"/>
          <w:lang w:val="en-US" w:eastAsia="zh-CN" w:bidi="ar"/>
        </w:rPr>
        <w:t>采购需求详见谈判文件。</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8</w:t>
      </w:r>
      <w:r>
        <w:rPr>
          <w:rFonts w:hint="eastAsia" w:ascii="宋体" w:hAnsi="宋体" w:cs="宋体" w:eastAsiaTheme="minorEastAsia"/>
          <w:color w:val="333333"/>
          <w:sz w:val="24"/>
          <w:szCs w:val="24"/>
          <w:shd w:val="clear" w:color="auto" w:fill="FFFFFF"/>
          <w:lang w:bidi="ar"/>
        </w:rPr>
        <w:t>、标段（包别）划分：</w:t>
      </w:r>
      <w:r>
        <w:rPr>
          <w:rFonts w:hint="eastAsia" w:ascii="宋体" w:hAnsi="宋体" w:cs="宋体" w:eastAsiaTheme="minorEastAsia"/>
          <w:color w:val="333333"/>
          <w:sz w:val="24"/>
          <w:szCs w:val="24"/>
          <w:shd w:val="clear" w:color="auto" w:fill="FFFFFF"/>
          <w:lang w:val="en-US" w:eastAsia="zh-CN" w:bidi="ar"/>
        </w:rPr>
        <w:t>不分包</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9</w:t>
      </w:r>
      <w:r>
        <w:rPr>
          <w:rFonts w:hint="eastAsia" w:ascii="宋体" w:hAnsi="宋体" w:cs="宋体" w:eastAsiaTheme="minorEastAsia"/>
          <w:color w:val="333333"/>
          <w:sz w:val="24"/>
          <w:szCs w:val="24"/>
          <w:shd w:val="clear" w:color="auto" w:fill="FFFFFF"/>
          <w:lang w:bidi="ar"/>
        </w:rPr>
        <w:t>、合同履行期限：</w:t>
      </w:r>
      <w:r>
        <w:rPr>
          <w:rFonts w:hint="eastAsia" w:ascii="宋体" w:hAnsi="宋体" w:cs="宋体" w:eastAsiaTheme="minorEastAsia"/>
          <w:color w:val="333333"/>
          <w:sz w:val="24"/>
          <w:szCs w:val="24"/>
          <w:shd w:val="clear" w:color="auto" w:fill="FFFFFF"/>
          <w:lang w:val="en-US" w:eastAsia="zh-CN" w:bidi="ar"/>
        </w:rPr>
        <w:t>30个日历天</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w:t>
      </w:r>
      <w:r>
        <w:rPr>
          <w:rFonts w:hint="eastAsia" w:ascii="宋体" w:hAnsi="宋体" w:cs="宋体" w:eastAsiaTheme="minorEastAsia"/>
          <w:color w:val="333333"/>
          <w:sz w:val="24"/>
          <w:szCs w:val="24"/>
          <w:shd w:val="clear" w:color="auto" w:fill="FFFFFF"/>
          <w:lang w:val="en-US" w:eastAsia="zh-CN" w:bidi="ar"/>
        </w:rPr>
        <w:t>0</w:t>
      </w:r>
      <w:r>
        <w:rPr>
          <w:rFonts w:hint="eastAsia" w:ascii="宋体" w:hAnsi="宋体" w:cs="宋体" w:eastAsiaTheme="minorEastAsia"/>
          <w:color w:val="333333"/>
          <w:sz w:val="24"/>
          <w:szCs w:val="24"/>
          <w:shd w:val="clear" w:color="auto" w:fill="FFFFFF"/>
          <w:lang w:bidi="ar"/>
        </w:rPr>
        <w:t>、本项目</w:t>
      </w:r>
      <w:r>
        <w:rPr>
          <w:rFonts w:hint="eastAsia" w:ascii="宋体" w:hAnsi="宋体" w:cs="宋体" w:eastAsiaTheme="minorEastAsia"/>
          <w:color w:val="333333"/>
          <w:sz w:val="24"/>
          <w:szCs w:val="24"/>
          <w:shd w:val="clear" w:color="auto" w:fill="FFFFFF"/>
          <w:lang w:val="en-US" w:eastAsia="zh-CN" w:bidi="ar"/>
        </w:rPr>
        <w:t>不</w:t>
      </w:r>
      <w:r>
        <w:rPr>
          <w:rFonts w:hint="eastAsia" w:ascii="宋体" w:hAnsi="宋体" w:cs="宋体" w:eastAsiaTheme="minorEastAsia"/>
          <w:color w:val="333333"/>
          <w:sz w:val="24"/>
          <w:szCs w:val="24"/>
          <w:shd w:val="clear" w:color="auto" w:fill="FFFFFF"/>
          <w:lang w:bidi="ar"/>
        </w:rPr>
        <w:t>接受联合体</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二、供应商的资格要求</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1.满足《中华人民共和国政府采购法》第二十二条规定且具有独立法人资格；</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：投标人营业执照经营范围中应包含所投产品的资质条件；</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无；</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三、获取采购文件</w:t>
      </w:r>
    </w:p>
    <w:p>
      <w:pPr>
        <w:pStyle w:val="29"/>
        <w:spacing w:before="0" w:beforeAutospacing="0" w:after="0" w:afterAutospacing="0" w:line="360" w:lineRule="auto"/>
        <w:jc w:val="both"/>
        <w:rPr>
          <w:rFonts w:hint="eastAsia"/>
          <w:color w:val="333333"/>
          <w:lang w:val="en-US" w:eastAsia="zh-CN"/>
        </w:rPr>
      </w:pPr>
      <w:r>
        <w:rPr>
          <w:rFonts w:hint="eastAsia"/>
          <w:color w:val="333333"/>
          <w:lang w:val="en-US" w:eastAsia="zh-CN"/>
        </w:rPr>
        <w:t>1、皖西卫生职业学院附属医院病理科封片机采购项目招标项目的潜在投标人应在皖西卫生职业学院附属医院官网（http://www.laey.net/cn/list_2969.aspx）查看谈判公告并获取谈判文件，于2021年1月 14日09点00分（北京时间）前递交响应文件。</w:t>
      </w:r>
    </w:p>
    <w:p>
      <w:pPr>
        <w:pStyle w:val="29"/>
        <w:spacing w:before="0" w:beforeAutospacing="0" w:after="0" w:afterAutospacing="0" w:line="360" w:lineRule="auto"/>
        <w:jc w:val="both"/>
        <w:rPr>
          <w:sz w:val="19"/>
          <w:szCs w:val="19"/>
        </w:rPr>
      </w:pPr>
      <w:r>
        <w:rPr>
          <w:rFonts w:hint="eastAsia"/>
          <w:color w:val="333333"/>
          <w:lang w:val="en-US" w:eastAsia="zh-CN"/>
        </w:rPr>
        <w:t>2、谈判</w:t>
      </w:r>
      <w:r>
        <w:rPr>
          <w:rFonts w:hint="eastAsia"/>
          <w:color w:val="333333"/>
        </w:rPr>
        <w:t>文件每套售价：0元/份。</w:t>
      </w:r>
    </w:p>
    <w:p>
      <w:pPr>
        <w:pStyle w:val="29"/>
        <w:spacing w:before="0" w:beforeAutospacing="0" w:after="0" w:afterAutospacing="0" w:line="360" w:lineRule="auto"/>
        <w:jc w:val="both"/>
        <w:rPr>
          <w:sz w:val="19"/>
          <w:szCs w:val="19"/>
        </w:rPr>
      </w:pPr>
      <w:r>
        <w:rPr>
          <w:rFonts w:hint="eastAsia"/>
          <w:color w:val="333333"/>
          <w:lang w:val="en-US" w:eastAsia="zh-CN"/>
        </w:rPr>
        <w:t>3、</w:t>
      </w:r>
      <w:r>
        <w:rPr>
          <w:rFonts w:hint="eastAsia"/>
          <w:color w:val="333333"/>
        </w:rPr>
        <w:t>有意向参与本项目的供应商，</w:t>
      </w:r>
      <w:r>
        <w:rPr>
          <w:rFonts w:hint="eastAsia"/>
          <w:color w:val="333333"/>
          <w:highlight w:val="none"/>
          <w:lang w:val="en-US" w:eastAsia="zh-CN"/>
        </w:rPr>
        <w:t>供应商</w:t>
      </w:r>
      <w:r>
        <w:rPr>
          <w:rFonts w:hint="eastAsia"/>
          <w:color w:val="333333"/>
          <w:lang w:val="en-US" w:eastAsia="zh-CN"/>
        </w:rPr>
        <w:t>应在皖西卫生职业学院附属医院官网（http://www.laey.net/cn/list_2969.aspx）</w:t>
      </w:r>
      <w:r>
        <w:rPr>
          <w:rFonts w:hint="eastAsia"/>
          <w:color w:val="333333"/>
          <w:highlight w:val="none"/>
          <w:lang w:val="en-US" w:eastAsia="zh-CN"/>
        </w:rPr>
        <w:t>获取补</w:t>
      </w:r>
      <w:r>
        <w:rPr>
          <w:rFonts w:hint="eastAsia"/>
          <w:color w:val="333333"/>
          <w:highlight w:val="none"/>
        </w:rPr>
        <w:t>充公告和澄清文件等资料，</w:t>
      </w:r>
      <w:r>
        <w:rPr>
          <w:rFonts w:hint="eastAsia"/>
          <w:color w:val="333333"/>
        </w:rPr>
        <w:t>否则，采购人不予接收供应商的</w:t>
      </w:r>
      <w:r>
        <w:rPr>
          <w:rFonts w:hint="eastAsia"/>
          <w:color w:val="333333"/>
          <w:lang w:val="en-US" w:eastAsia="zh-CN"/>
        </w:rPr>
        <w:t>响应</w:t>
      </w:r>
      <w:r>
        <w:rPr>
          <w:rFonts w:hint="eastAsia"/>
          <w:color w:val="333333"/>
        </w:rPr>
        <w:t>文件。</w:t>
      </w:r>
    </w:p>
    <w:p>
      <w:pPr>
        <w:keepNext/>
        <w:keepLines/>
        <w:widowControl w:val="0"/>
        <w:numPr>
          <w:ilvl w:val="0"/>
          <w:numId w:val="0"/>
        </w:numPr>
        <w:spacing w:beforeAutospacing="0" w:afterAutospacing="0" w:line="560" w:lineRule="exact"/>
        <w:jc w:val="both"/>
        <w:outlineLvl w:val="1"/>
        <w:rPr>
          <w:rFonts w:hint="default"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四、谈判开启及响应文件递交</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1、截止时间：202</w:t>
      </w:r>
      <w:r>
        <w:rPr>
          <w:rFonts w:hint="eastAsia" w:ascii="宋体" w:hAnsi="宋体" w:cs="宋体"/>
          <w:color w:val="333333"/>
          <w:sz w:val="24"/>
          <w:szCs w:val="24"/>
          <w:shd w:val="clear" w:color="auto" w:fill="FFFFFF"/>
          <w:lang w:val="en-US" w:eastAsia="zh-CN" w:bidi="ar"/>
        </w:rPr>
        <w:t>1</w:t>
      </w:r>
      <w:r>
        <w:rPr>
          <w:rFonts w:hint="eastAsia" w:ascii="宋体" w:hAnsi="宋体" w:cs="宋体"/>
          <w:color w:val="333333"/>
          <w:sz w:val="24"/>
          <w:szCs w:val="24"/>
          <w:shd w:val="clear" w:color="auto" w:fill="FFFFFF"/>
          <w:lang w:bidi="ar"/>
        </w:rPr>
        <w:t>年</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shd w:val="clear" w:color="auto" w:fill="FFFFFF"/>
          <w:lang w:bidi="ar"/>
        </w:rPr>
        <w:t>月</w:t>
      </w:r>
      <w:r>
        <w:rPr>
          <w:rFonts w:hint="eastAsia" w:ascii="宋体" w:hAnsi="宋体" w:cs="宋体"/>
          <w:color w:val="333333"/>
          <w:sz w:val="24"/>
          <w:szCs w:val="24"/>
          <w:u w:val="single"/>
          <w:shd w:val="clear" w:color="auto" w:fill="FFFFFF"/>
          <w:lang w:val="en-US" w:eastAsia="zh-CN" w:bidi="ar"/>
        </w:rPr>
        <w:t>14</w:t>
      </w:r>
      <w:r>
        <w:rPr>
          <w:rFonts w:hint="eastAsia" w:ascii="宋体" w:hAnsi="宋体" w:cs="宋体"/>
          <w:color w:val="333333"/>
          <w:sz w:val="24"/>
          <w:szCs w:val="24"/>
          <w:shd w:val="clear" w:color="auto" w:fill="FFFFFF"/>
          <w:lang w:bidi="ar"/>
        </w:rPr>
        <w:t>日</w:t>
      </w:r>
      <w:r>
        <w:rPr>
          <w:rFonts w:hint="eastAsia" w:ascii="宋体" w:hAnsi="宋体" w:cs="宋体"/>
          <w:color w:val="333333"/>
          <w:sz w:val="24"/>
          <w:szCs w:val="24"/>
          <w:u w:val="single"/>
          <w:shd w:val="clear" w:color="auto" w:fill="FFFFFF"/>
          <w:lang w:val="en-US" w:eastAsia="zh-CN" w:bidi="ar"/>
        </w:rPr>
        <w:t>09</w:t>
      </w:r>
      <w:r>
        <w:rPr>
          <w:rFonts w:hint="eastAsia" w:ascii="宋体" w:hAnsi="宋体" w:cs="宋体"/>
          <w:color w:val="333333"/>
          <w:sz w:val="24"/>
          <w:szCs w:val="24"/>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shd w:val="clear" w:color="auto" w:fill="FFFFFF"/>
          <w:lang w:bidi="ar"/>
        </w:rPr>
        <w:t>分（北京时间）</w:t>
      </w:r>
    </w:p>
    <w:p>
      <w:pPr>
        <w:widowControl/>
        <w:spacing w:line="560" w:lineRule="exact"/>
        <w:jc w:val="left"/>
        <w:rPr>
          <w:rFonts w:ascii="宋体" w:hAnsi="宋体" w:cs="宋体" w:eastAsiaTheme="minorEastAsia"/>
          <w:b/>
          <w:color w:val="333333"/>
          <w:kern w:val="0"/>
          <w:sz w:val="24"/>
          <w:szCs w:val="24"/>
          <w:shd w:val="clear" w:color="auto" w:fill="FFFFFF"/>
        </w:rPr>
      </w:pPr>
      <w:r>
        <w:rPr>
          <w:rFonts w:hint="eastAsia" w:ascii="宋体" w:hAnsi="宋体" w:cs="宋体"/>
          <w:color w:val="333333"/>
          <w:sz w:val="24"/>
          <w:szCs w:val="24"/>
          <w:shd w:val="clear" w:color="auto" w:fill="FFFFFF"/>
          <w:lang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lang w:bidi="ar"/>
        </w:rPr>
        <w:t>自本公告发布之日起3个工作日。</w:t>
      </w:r>
    </w:p>
    <w:p>
      <w:pPr>
        <w:keepNext/>
        <w:keepLines/>
        <w:widowControl w:val="0"/>
        <w:tabs>
          <w:tab w:val="left" w:pos="1094"/>
        </w:tabs>
        <w:spacing w:beforeAutospacing="0" w:afterAutospacing="0" w:line="560" w:lineRule="exact"/>
        <w:jc w:val="both"/>
        <w:outlineLvl w:val="1"/>
        <w:rPr>
          <w:rFonts w:hint="default" w:ascii="宋体" w:hAnsi="宋体" w:eastAsia="宋体" w:cs="Times New Roman"/>
          <w:b/>
          <w:kern w:val="0"/>
          <w:sz w:val="36"/>
          <w:szCs w:val="36"/>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六、其他补充事宜</w:t>
      </w:r>
    </w:p>
    <w:p>
      <w:pPr>
        <w:pStyle w:val="29"/>
        <w:spacing w:before="0" w:beforeAutospacing="0" w:after="0" w:afterAutospacing="0" w:line="360" w:lineRule="auto"/>
        <w:jc w:val="both"/>
      </w:pPr>
      <w:r>
        <w:rPr>
          <w:rFonts w:hint="eastAsia"/>
          <w:color w:val="333333"/>
        </w:rPr>
        <w:t>公告发布媒体：本次</w:t>
      </w:r>
      <w:r>
        <w:rPr>
          <w:rFonts w:hint="eastAsia"/>
          <w:color w:val="333333"/>
          <w:lang w:val="en-US" w:eastAsia="zh-CN"/>
        </w:rPr>
        <w:t>谈判</w:t>
      </w:r>
      <w:r>
        <w:rPr>
          <w:rFonts w:hint="eastAsia"/>
          <w:color w:val="333333"/>
        </w:rPr>
        <w:t>公告发布在皖西卫生职业学院附属医院官网</w:t>
      </w:r>
    </w:p>
    <w:p>
      <w:pPr>
        <w:keepNext/>
        <w:keepLines/>
        <w:widowControl w:val="0"/>
        <w:numPr>
          <w:ilvl w:val="0"/>
          <w:numId w:val="0"/>
        </w:numPr>
        <w:spacing w:beforeAutospacing="0" w:afterAutospacing="0" w:line="560" w:lineRule="exact"/>
        <w:jc w:val="left"/>
        <w:outlineLvl w:val="1"/>
        <w:rPr>
          <w:rFonts w:hint="eastAsia"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七、谈判保证金</w:t>
      </w:r>
    </w:p>
    <w:p>
      <w:pPr>
        <w:pStyle w:val="89"/>
        <w:spacing w:line="300" w:lineRule="exact"/>
        <w:ind w:left="2880" w:hanging="2880" w:hangingChars="1200"/>
        <w:rPr>
          <w:rFonts w:hint="eastAsia" w:ascii="Times New Roman" w:hAnsi="Times New Roman" w:eastAsia="宋体" w:cs="Times New Roman"/>
          <w:color w:val="333333"/>
          <w:kern w:val="0"/>
          <w:sz w:val="24"/>
          <w:szCs w:val="22"/>
          <w:lang w:val="en-US" w:eastAsia="zh-CN" w:bidi="ar-SA"/>
        </w:rPr>
      </w:pPr>
      <w:r>
        <w:rPr>
          <w:rFonts w:hint="eastAsia" w:ascii="Times New Roman" w:hAnsi="Times New Roman" w:eastAsia="宋体" w:cs="Times New Roman"/>
          <w:color w:val="333333"/>
          <w:kern w:val="0"/>
          <w:sz w:val="24"/>
          <w:szCs w:val="22"/>
          <w:lang w:val="en-US" w:eastAsia="zh-CN" w:bidi="ar-SA"/>
        </w:rPr>
        <w:t>本项目无需递交谈判保证金</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八、对本次采购提出询问，请按以下方式联系。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lang w:bidi="ar"/>
        </w:rPr>
        <w:t>1、采购人信息</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联系方式：0564-3300160</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项目联系人：聂工</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电 话：18555440102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安徽同方工程咨询有限公司</w:t>
      </w:r>
    </w:p>
    <w:p>
      <w:pPr>
        <w:spacing w:line="360" w:lineRule="auto"/>
        <w:ind w:firstLine="5760" w:firstLineChars="2400"/>
        <w:jc w:val="right"/>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皖西卫生职业学院附属医院</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2021年1月8日</w:t>
      </w:r>
    </w:p>
    <w:p>
      <w:pPr>
        <w:pStyle w:val="53"/>
        <w:ind w:firstLine="2923" w:firstLineChars="1040"/>
        <w:rPr>
          <w:sz w:val="28"/>
          <w:szCs w:val="28"/>
        </w:rPr>
      </w:pPr>
      <w:r>
        <w:rPr>
          <w:rFonts w:hint="eastAsia"/>
          <w:sz w:val="28"/>
          <w:szCs w:val="28"/>
        </w:rPr>
        <w:br w:type="page"/>
      </w:r>
    </w:p>
    <w:p>
      <w:pPr>
        <w:pStyle w:val="5"/>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5"/>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2"/>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363199267"/>
            <w:bookmarkStart w:id="8" w:name="_Toc21615862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5"/>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5"/>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5"/>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5"/>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皖西卫生职业学院附属医院病理科封片机采购项目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5"/>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AHTF-2021003N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bCs/>
                <w:sz w:val="24"/>
                <w:szCs w:val="24"/>
                <w:highlight w:val="none"/>
              </w:rPr>
              <w:t>：</w:t>
            </w:r>
            <w:r>
              <w:rPr>
                <w:rFonts w:hint="eastAsia" w:ascii="宋体" w:hAnsi="宋体" w:cs="Times New Roman"/>
                <w:b w:val="0"/>
                <w:bCs w:val="0"/>
                <w:kern w:val="0"/>
                <w:sz w:val="24"/>
                <w:szCs w:val="24"/>
                <w:highlight w:val="none"/>
                <w:lang w:val="en-US" w:eastAsia="zh-CN" w:bidi="ar-SA"/>
              </w:rPr>
              <w:t>合同签订后，货到现场、</w:t>
            </w:r>
            <w:r>
              <w:rPr>
                <w:rFonts w:hint="eastAsia" w:ascii="宋体" w:hAnsi="宋体" w:eastAsia="宋体" w:cs="Times New Roman"/>
                <w:b w:val="0"/>
                <w:bCs w:val="0"/>
                <w:kern w:val="0"/>
                <w:sz w:val="24"/>
                <w:szCs w:val="24"/>
                <w:highlight w:val="none"/>
                <w:lang w:val="en-US" w:eastAsia="zh-CN" w:bidi="ar-SA"/>
              </w:rPr>
              <w:t>安装完成</w:t>
            </w:r>
            <w:r>
              <w:rPr>
                <w:rFonts w:hint="eastAsia" w:ascii="宋体" w:hAnsi="宋体" w:cs="Times New Roman"/>
                <w:b w:val="0"/>
                <w:bCs w:val="0"/>
                <w:kern w:val="0"/>
                <w:sz w:val="24"/>
                <w:szCs w:val="24"/>
                <w:highlight w:val="none"/>
                <w:lang w:val="en-US" w:eastAsia="zh-CN" w:bidi="ar-SA"/>
              </w:rPr>
              <w:t>并经验收合格后支付货款的90%，剩余</w:t>
            </w:r>
            <w:r>
              <w:rPr>
                <w:rFonts w:hint="eastAsia" w:ascii="宋体" w:hAnsi="宋体" w:eastAsia="宋体" w:cs="Times New Roman"/>
                <w:b w:val="0"/>
                <w:bCs w:val="0"/>
                <w:kern w:val="0"/>
                <w:sz w:val="24"/>
                <w:szCs w:val="24"/>
                <w:highlight w:val="none"/>
                <w:lang w:val="en-US" w:eastAsia="zh-CN" w:bidi="ar-SA"/>
              </w:rPr>
              <w:t>10%</w:t>
            </w:r>
            <w:r>
              <w:rPr>
                <w:rFonts w:hint="eastAsia" w:ascii="宋体" w:hAnsi="宋体" w:cs="Times New Roman"/>
                <w:b w:val="0"/>
                <w:bCs w:val="0"/>
                <w:kern w:val="0"/>
                <w:sz w:val="24"/>
                <w:szCs w:val="24"/>
                <w:highlight w:val="none"/>
                <w:lang w:val="en-US" w:eastAsia="zh-CN" w:bidi="ar-SA"/>
              </w:rPr>
              <w:t>货款待质保期满后</w:t>
            </w:r>
            <w:r>
              <w:rPr>
                <w:rFonts w:hint="eastAsia" w:ascii="宋体" w:hAnsi="宋体" w:eastAsia="宋体" w:cs="Times New Roman"/>
                <w:b w:val="0"/>
                <w:bCs w:val="0"/>
                <w:kern w:val="0"/>
                <w:sz w:val="24"/>
                <w:szCs w:val="24"/>
                <w:highlight w:val="none"/>
                <w:lang w:val="en-US" w:eastAsia="zh-CN" w:bidi="ar-SA"/>
              </w:rPr>
              <w:t>一次性</w:t>
            </w:r>
            <w:r>
              <w:rPr>
                <w:rFonts w:hint="eastAsia" w:ascii="宋体" w:hAnsi="宋体" w:cs="Times New Roman"/>
                <w:b w:val="0"/>
                <w:bCs w:val="0"/>
                <w:kern w:val="0"/>
                <w:sz w:val="24"/>
                <w:szCs w:val="24"/>
                <w:highlight w:val="none"/>
                <w:lang w:val="en-US" w:eastAsia="zh-CN" w:bidi="ar-SA"/>
              </w:rPr>
              <w:t>无息</w:t>
            </w:r>
            <w:r>
              <w:rPr>
                <w:rFonts w:hint="eastAsia" w:ascii="宋体" w:hAnsi="宋体" w:eastAsia="宋体" w:cs="Times New Roman"/>
                <w:b w:val="0"/>
                <w:bCs w:val="0"/>
                <w:kern w:val="0"/>
                <w:sz w:val="24"/>
                <w:szCs w:val="24"/>
                <w:highlight w:val="none"/>
                <w:lang w:val="en-US" w:eastAsia="zh-CN" w:bidi="ar-SA"/>
              </w:rPr>
              <w:t>付清</w:t>
            </w:r>
            <w:r>
              <w:rPr>
                <w:rFonts w:hint="eastAsia" w:ascii="宋体" w:hAnsi="宋体" w:cs="Times New Roman"/>
                <w:b w:val="0"/>
                <w:bCs w:val="0"/>
                <w:kern w:val="0"/>
                <w:sz w:val="24"/>
                <w:szCs w:val="24"/>
                <w:highlight w:val="none"/>
                <w:lang w:val="en-US" w:eastAsia="zh-CN" w:bidi="ar-SA"/>
              </w:rPr>
              <w:t>。</w:t>
            </w:r>
          </w:p>
          <w:p>
            <w:pPr>
              <w:pStyle w:val="85"/>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供货期</w:t>
            </w:r>
          </w:p>
        </w:tc>
        <w:tc>
          <w:tcPr>
            <w:tcW w:w="7924" w:type="dxa"/>
            <w:vAlign w:val="center"/>
          </w:tcPr>
          <w:p>
            <w:pPr>
              <w:pStyle w:val="85"/>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30个日历天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免费质保期</w:t>
            </w:r>
          </w:p>
        </w:tc>
        <w:tc>
          <w:tcPr>
            <w:tcW w:w="7924" w:type="dxa"/>
            <w:vAlign w:val="center"/>
          </w:tcPr>
          <w:p>
            <w:pPr>
              <w:pStyle w:val="85"/>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highlight w:val="none"/>
                <w:lang w:val="en-US" w:eastAsia="zh-CN"/>
              </w:rPr>
              <w:t>质保期两年，质保期内提供免费维修服务。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3"/>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3"/>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3"/>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lang w:val="en-US" w:eastAsia="zh-CN"/>
              </w:rPr>
              <w:t>如有必要</w:t>
            </w: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3"/>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3"/>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3"/>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3"/>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3"/>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3"/>
              <w:pBdr>
                <w:bottom w:val="none" w:color="auto" w:sz="0" w:space="0"/>
              </w:pBdr>
              <w:tabs>
                <w:tab w:val="clear" w:pos="4153"/>
                <w:tab w:val="clear" w:pos="8306"/>
              </w:tabs>
              <w:adjustRightInd/>
              <w:spacing w:line="460" w:lineRule="exact"/>
              <w:jc w:val="left"/>
              <w:textAlignment w:val="auto"/>
              <w:rPr>
                <w:rFonts w:hint="eastAsia" w:ascii="宋体" w:hAnsi="宋体"/>
                <w:bCs/>
                <w:kern w:val="2"/>
                <w:szCs w:val="24"/>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以下资料原件供查验：法定代表人身份证和法定代表人身份证明书原件或授权委托代理人身份证和法人授权委托书原件，并与</w:t>
            </w:r>
            <w:r>
              <w:rPr>
                <w:rFonts w:hint="eastAsia" w:ascii="宋体" w:hAnsi="宋体"/>
                <w:bCs/>
                <w:kern w:val="2"/>
                <w:szCs w:val="24"/>
                <w:lang w:val="en-US" w:eastAsia="zh-CN"/>
              </w:rPr>
              <w:t>响应</w:t>
            </w:r>
            <w:r>
              <w:rPr>
                <w:rFonts w:hint="eastAsia" w:ascii="宋体" w:hAnsi="宋体"/>
                <w:bCs/>
                <w:kern w:val="2"/>
                <w:szCs w:val="24"/>
              </w:rPr>
              <w:t>文件一并递交。</w:t>
            </w:r>
          </w:p>
          <w:p>
            <w:pPr>
              <w:pStyle w:val="83"/>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3、供应商应在响应文件密封袋中提供</w:t>
            </w:r>
            <w:r>
              <w:rPr>
                <w:rFonts w:hint="eastAsia" w:ascii="宋体" w:hAnsi="宋体"/>
                <w:b/>
                <w:bCs w:val="0"/>
                <w:kern w:val="2"/>
                <w:szCs w:val="24"/>
                <w:lang w:val="en-US" w:eastAsia="zh-CN"/>
              </w:rPr>
              <w:t>电子版响应文件（U盘或光盘）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3"/>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3"/>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，应当诚信守法、公平竞争。如有以提供虚假材料（包括但不限于虚假技术参数响应、虚假业绩、虚假证书、虚假检测报告等）、串通投标、隐瞒失信信息等谋取中标的行为，一经发现，将报监管部门严肃查处。</w:t>
            </w:r>
          </w:p>
        </w:tc>
      </w:tr>
    </w:tbl>
    <w:p>
      <w:pPr>
        <w:pStyle w:val="5"/>
        <w:spacing w:line="360" w:lineRule="auto"/>
        <w:jc w:val="center"/>
        <w:rPr>
          <w:rFonts w:ascii="宋体" w:hAnsi="宋体" w:eastAsia="宋体"/>
          <w:bCs/>
          <w:sz w:val="24"/>
          <w:szCs w:val="24"/>
        </w:rPr>
      </w:pPr>
    </w:p>
    <w:p>
      <w:pPr>
        <w:pStyle w:val="5"/>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left"/>
        <w:rPr>
          <w:rFonts w:asciiTheme="minorHAnsi" w:hAnsiTheme="minorHAnsi" w:eastAsiaTheme="minorEastAsia" w:cstheme="minorBidi"/>
          <w:sz w:val="24"/>
          <w:szCs w:val="24"/>
        </w:rPr>
      </w:pPr>
      <w:bookmarkStart w:id="10" w:name="_Toc438648662"/>
      <w:bookmarkStart w:id="11" w:name="_Toc363199266"/>
      <w:bookmarkStart w:id="12" w:name="_Toc216158625"/>
      <w:bookmarkStart w:id="13" w:name="_Toc20659"/>
      <w:r>
        <w:rPr>
          <w:rFonts w:hint="eastAsia" w:ascii="宋体" w:hAnsi="宋体" w:cs="宋体" w:eastAsiaTheme="minorEastAsia"/>
          <w:color w:val="333333"/>
          <w:sz w:val="24"/>
          <w:szCs w:val="24"/>
          <w:shd w:val="clear" w:color="auto" w:fill="FFFFFF"/>
          <w:lang w:bidi="ar"/>
        </w:rPr>
        <w:t>1.满足《中华人民共和国政府采购法》第二十二条规定且具有独立法人资格；</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：投标人营业执照经营范围中应包含所投产品的资质条件；</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无</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5"/>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89"/>
        <w:spacing w:line="300" w:lineRule="exact"/>
        <w:ind w:left="2880" w:hanging="2880" w:hangingChars="1200"/>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5"/>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5"/>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5"/>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5"/>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5"/>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5"/>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皖西卫生职业学院附属医院管网</w:t>
      </w:r>
      <w:r>
        <w:rPr>
          <w:rFonts w:hint="eastAsia" w:ascii="宋体" w:hAnsi="宋体" w:cs="Arial"/>
          <w:sz w:val="24"/>
          <w:szCs w:val="24"/>
        </w:rPr>
        <w:t>进行公告。</w:t>
      </w:r>
    </w:p>
    <w:p>
      <w:pPr>
        <w:pStyle w:val="5"/>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5"/>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2"/>
        <w:ind w:firstLine="0"/>
        <w:rPr>
          <w:rFonts w:hint="eastAsia"/>
        </w:rPr>
      </w:pPr>
      <w:r>
        <w:rPr>
          <w:rFonts w:hint="eastAsia"/>
        </w:rPr>
        <w:t>5、中标人（成交供应商）无正当理由不与招标人订立合同的处罚依据：</w:t>
      </w:r>
    </w:p>
    <w:p>
      <w:pPr>
        <w:pStyle w:val="2"/>
        <w:ind w:firstLine="0"/>
        <w:rPr>
          <w:rFonts w:hint="eastAsia"/>
        </w:rPr>
      </w:pPr>
      <w:r>
        <w:rPr>
          <w:rFonts w:hint="eastAsia"/>
        </w:rPr>
        <w:t>（1）、《中华人民共和国政府采购法实施条例》</w:t>
      </w:r>
    </w:p>
    <w:p>
      <w:pPr>
        <w:pStyle w:val="2"/>
        <w:ind w:firstLine="0"/>
        <w:rPr>
          <w:rFonts w:hint="eastAsia"/>
        </w:rPr>
      </w:pPr>
      <w:r>
        <w:rPr>
          <w:rFonts w:hint="eastAsia"/>
        </w:rPr>
        <w:t>第七十二条 供应商有下列情形之一的，依照政府采购法第七十七条第一款的规定追究法律责任：……</w:t>
      </w:r>
    </w:p>
    <w:p>
      <w:pPr>
        <w:pStyle w:val="2"/>
        <w:ind w:firstLine="0"/>
        <w:rPr>
          <w:rFonts w:hint="eastAsia"/>
        </w:rPr>
      </w:pPr>
      <w:r>
        <w:rPr>
          <w:rFonts w:hint="eastAsia"/>
        </w:rPr>
        <w:t>（二）中标或者成交后无正当理由拒不与采购人签订政府采购合同；……</w:t>
      </w:r>
    </w:p>
    <w:p>
      <w:pPr>
        <w:pStyle w:val="2"/>
        <w:ind w:firstLine="0"/>
        <w:rPr>
          <w:rFonts w:hint="eastAsia"/>
        </w:rPr>
      </w:pPr>
      <w:r>
        <w:rPr>
          <w:rFonts w:hint="eastAsia"/>
        </w:rPr>
        <w:t>（2）、《中华人民共和国政府采购法》</w:t>
      </w:r>
    </w:p>
    <w:p>
      <w:pPr>
        <w:pStyle w:val="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rPr>
          <w:rFonts w:hint="eastAsia"/>
        </w:rPr>
      </w:pPr>
      <w:r>
        <w:rPr>
          <w:rFonts w:hint="eastAsia"/>
        </w:rPr>
        <w:t>（3）《政府采购非招标采购方式管理办法》（财政部令第74号）</w:t>
      </w:r>
    </w:p>
    <w:p>
      <w:pPr>
        <w:pStyle w:val="2"/>
        <w:ind w:firstLine="0"/>
        <w:rPr>
          <w:rFonts w:hint="eastAsia"/>
        </w:rPr>
      </w:pPr>
      <w:r>
        <w:rPr>
          <w:rFonts w:hint="eastAsia"/>
        </w:rPr>
        <w:t>第二十条   ……</w:t>
      </w:r>
      <w:bookmarkStart w:id="21" w:name="_Toc8827"/>
    </w:p>
    <w:p>
      <w:pPr>
        <w:pStyle w:val="2"/>
        <w:ind w:firstLine="0"/>
        <w:rPr>
          <w:rFonts w:hint="eastAsia"/>
        </w:rPr>
      </w:pPr>
      <w:r>
        <w:rPr>
          <w:rFonts w:hint="eastAsia"/>
        </w:rPr>
        <w:t>有下列情形之一的，保证金不予退还：……</w:t>
      </w:r>
    </w:p>
    <w:p>
      <w:pPr>
        <w:pStyle w:val="2"/>
        <w:ind w:firstLine="0"/>
        <w:rPr>
          <w:rFonts w:hint="eastAsia"/>
        </w:rPr>
      </w:pPr>
      <w:r>
        <w:rPr>
          <w:rFonts w:hint="eastAsia"/>
        </w:rPr>
        <w:t>（三）除因不可抗力或谈判文件、询价通知书认可的情形以外，成交供应商不与采购人签订合同的；……</w:t>
      </w:r>
    </w:p>
    <w:p>
      <w:pPr>
        <w:pStyle w:val="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2"/>
        <w:ind w:firstLine="0"/>
        <w:rPr>
          <w:rFonts w:hint="eastAsia"/>
        </w:rPr>
      </w:pPr>
      <w:r>
        <w:rPr>
          <w:rFonts w:hint="eastAsia"/>
        </w:rPr>
        <w:t>（二）成交后无正当理由不与采购人签订合同的；……</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5"/>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5"/>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3"/>
        <w:jc w:val="both"/>
        <w:rPr>
          <w:sz w:val="28"/>
          <w:szCs w:val="28"/>
        </w:rPr>
      </w:pPr>
      <w:bookmarkStart w:id="24" w:name="_Toc216158630"/>
    </w:p>
    <w:p>
      <w:pPr>
        <w:pStyle w:val="5"/>
        <w:spacing w:before="0" w:after="0" w:line="560" w:lineRule="exact"/>
        <w:jc w:val="center"/>
        <w:rPr>
          <w:rFonts w:hint="eastAsia" w:ascii="宋体" w:hAnsi="宋体" w:eastAsia="宋体" w:cs="宋体"/>
          <w:sz w:val="28"/>
          <w:szCs w:val="28"/>
        </w:rPr>
      </w:pPr>
      <w:bookmarkStart w:id="25" w:name="_Toc21436"/>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5"/>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hint="eastAsia" w:ascii="宋体" w:hAnsi="宋体" w:eastAsia="宋体" w:cs="宋体"/>
          <w:b/>
          <w:kern w:val="0"/>
          <w:sz w:val="28"/>
          <w:szCs w:val="28"/>
          <w:lang w:val="en-US" w:eastAsia="zh-CN" w:bidi="ar-SA"/>
        </w:rPr>
      </w:pPr>
      <w:bookmarkStart w:id="27" w:name="_Toc9917"/>
      <w:r>
        <w:rPr>
          <w:rFonts w:hint="eastAsia" w:ascii="宋体" w:hAnsi="宋体" w:eastAsia="宋体" w:cs="宋体"/>
          <w:b/>
          <w:kern w:val="0"/>
          <w:sz w:val="28"/>
          <w:szCs w:val="28"/>
          <w:lang w:val="en-US" w:eastAsia="zh-CN" w:bidi="ar-SA"/>
        </w:rPr>
        <w:t>采购需求</w:t>
      </w:r>
    </w:p>
    <w:tbl>
      <w:tblPr>
        <w:tblStyle w:val="32"/>
        <w:tblW w:w="8145" w:type="dxa"/>
        <w:tblInd w:w="0" w:type="dxa"/>
        <w:shd w:val="clear" w:color="auto" w:fill="auto"/>
        <w:tblLayout w:type="autofit"/>
        <w:tblCellMar>
          <w:top w:w="0" w:type="dxa"/>
          <w:left w:w="0" w:type="dxa"/>
          <w:bottom w:w="0" w:type="dxa"/>
          <w:right w:w="0" w:type="dxa"/>
        </w:tblCellMar>
      </w:tblPr>
      <w:tblGrid>
        <w:gridCol w:w="615"/>
        <w:gridCol w:w="1570"/>
        <w:gridCol w:w="1080"/>
        <w:gridCol w:w="5370"/>
      </w:tblGrid>
      <w:tr>
        <w:tblPrEx>
          <w:shd w:val="clear" w:color="auto" w:fill="auto"/>
          <w:tblCellMar>
            <w:top w:w="0" w:type="dxa"/>
            <w:left w:w="0" w:type="dxa"/>
            <w:bottom w:w="0" w:type="dxa"/>
            <w:right w:w="0" w:type="dxa"/>
          </w:tblCellMar>
        </w:tblPrEx>
        <w:trPr>
          <w:trHeight w:val="7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采购数量</w:t>
            </w:r>
          </w:p>
        </w:tc>
        <w:tc>
          <w:tcPr>
            <w:tcW w:w="5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技术参数</w:t>
            </w:r>
          </w:p>
        </w:tc>
      </w:tr>
      <w:tr>
        <w:tblPrEx>
          <w:tblCellMar>
            <w:top w:w="0" w:type="dxa"/>
            <w:left w:w="0" w:type="dxa"/>
            <w:bottom w:w="0" w:type="dxa"/>
            <w:right w:w="0" w:type="dxa"/>
          </w:tblCellMar>
        </w:tblPrEx>
        <w:trPr>
          <w:trHeight w:val="6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病理切片封片机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1套</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★适用于细胞涂片和组织切片和TCT等多种封片，生产量：每小时≥400片。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2.处理兼容的盖玻片尺寸：22-24mm x 40-60mm。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3.盖玻片容量≥160个盖玻片。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4.封固剂瓶容量：≥250ml。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5.可根据盖玻片尺寸和行程长度调整喷胶量。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6.适用于干性和湿性封片。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7.★有破损盖玻片自检功能，降低故障率。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8.有活性碳滤网和气体抽排装置，确保无气味。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9.吸盘滤网系统，防止碎屑堵塞管。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10.★兼容市售的各种品牌玻片架。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11.输出架：≥60个玻片。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12.输入、输出架总量≥60片。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13.★无需配备专用耗材。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14.可升级与染色机连接成工作站，实现无人操作。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15.供应商须配送彩色打印机一台</w:t>
            </w:r>
          </w:p>
        </w:tc>
      </w:tr>
    </w:tbl>
    <w:p>
      <w:pPr>
        <w:pStyle w:val="40"/>
        <w:rPr>
          <w:rFonts w:hint="default"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p>
      <w:pPr>
        <w:pStyle w:val="40"/>
        <w:rPr>
          <w:rFonts w:hint="eastAsia" w:ascii="宋体" w:hAnsi="宋体" w:eastAsia="宋体" w:cs="宋体"/>
          <w:b/>
          <w:kern w:val="0"/>
          <w:sz w:val="28"/>
          <w:szCs w:val="28"/>
          <w:lang w:val="en-US" w:eastAsia="zh-CN" w:bidi="ar-SA"/>
        </w:rPr>
      </w:pPr>
    </w:p>
    <w:bookmarkEnd w:id="27"/>
    <w:p>
      <w:pPr>
        <w:pStyle w:val="40"/>
        <w:rPr>
          <w:rFonts w:hint="eastAsia" w:ascii="宋体" w:hAnsi="宋体" w:eastAsia="宋体" w:cs="宋体"/>
          <w:sz w:val="28"/>
          <w:szCs w:val="28"/>
        </w:rPr>
      </w:pPr>
      <w:bookmarkStart w:id="28" w:name="_Toc1857"/>
    </w:p>
    <w:p>
      <w:pPr>
        <w:pStyle w:val="40"/>
        <w:rPr>
          <w:rFonts w:hint="eastAsia" w:ascii="宋体" w:hAnsi="宋体" w:eastAsia="宋体" w:cs="宋体"/>
          <w:sz w:val="28"/>
          <w:szCs w:val="28"/>
        </w:rPr>
      </w:pPr>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5"/>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8"/>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8"/>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pStyle w:val="5"/>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5"/>
        <w:spacing w:before="0" w:after="0" w:line="560" w:lineRule="exact"/>
        <w:jc w:val="center"/>
        <w:rPr>
          <w:rFonts w:ascii="宋体" w:hAnsi="宋体" w:eastAsia="宋体" w:cs="宋体"/>
          <w:sz w:val="24"/>
          <w:szCs w:val="24"/>
        </w:rPr>
      </w:pPr>
      <w:bookmarkStart w:id="31" w:name="_Toc5601"/>
      <w:r>
        <w:rPr>
          <w:rFonts w:hint="eastAsia" w:ascii="宋体" w:hAnsi="宋体" w:eastAsia="宋体" w:cs="宋体"/>
          <w:sz w:val="24"/>
          <w:szCs w:val="24"/>
        </w:rPr>
        <w:t>报价单</w:t>
      </w:r>
      <w:bookmarkEnd w:id="31"/>
    </w:p>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327"/>
        <w:gridCol w:w="1529"/>
        <w:gridCol w:w="1529"/>
        <w:gridCol w:w="786"/>
        <w:gridCol w:w="786"/>
        <w:gridCol w:w="1051"/>
        <w:gridCol w:w="105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5"/>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327" w:type="dxa"/>
            <w:vAlign w:val="center"/>
          </w:tcPr>
          <w:p>
            <w:pPr>
              <w:jc w:val="center"/>
              <w:rPr>
                <w:rFonts w:ascii="宋体" w:hAnsi="宋体" w:cs="宋体"/>
                <w:b/>
                <w:sz w:val="24"/>
                <w:szCs w:val="24"/>
              </w:rPr>
            </w:pPr>
            <w:r>
              <w:rPr>
                <w:rFonts w:hint="eastAsia" w:ascii="宋体" w:hAnsi="宋体" w:cs="宋体"/>
                <w:b/>
                <w:sz w:val="24"/>
                <w:szCs w:val="24"/>
              </w:rPr>
              <w:t>货物名称</w:t>
            </w:r>
          </w:p>
        </w:tc>
        <w:tc>
          <w:tcPr>
            <w:tcW w:w="1529"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529"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786"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786"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51"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1051"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784"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327" w:type="dxa"/>
            <w:vAlign w:val="top"/>
          </w:tcPr>
          <w:p>
            <w:pPr>
              <w:jc w:val="left"/>
              <w:outlineLvl w:val="0"/>
              <w:rPr>
                <w:rFonts w:hint="eastAsia" w:ascii="宋体" w:hAnsi="宋体" w:eastAsia="宋体" w:cs="Times New Roman"/>
                <w:b w:val="0"/>
                <w:bCs/>
                <w:kern w:val="2"/>
                <w:sz w:val="24"/>
                <w:szCs w:val="24"/>
                <w:vertAlign w:val="baseline"/>
                <w:lang w:val="en-US" w:eastAsia="zh-CN" w:bidi="ar-SA"/>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327" w:type="dxa"/>
            <w:vAlign w:val="top"/>
          </w:tcPr>
          <w:p>
            <w:pPr>
              <w:jc w:val="left"/>
              <w:outlineLvl w:val="0"/>
              <w:rPr>
                <w:rFonts w:hint="eastAsia" w:ascii="宋体" w:hAnsi="宋体" w:eastAsia="宋体" w:cs="Times New Roman"/>
                <w:b w:val="0"/>
                <w:bCs/>
                <w:kern w:val="2"/>
                <w:sz w:val="24"/>
                <w:szCs w:val="24"/>
                <w:vertAlign w:val="baseline"/>
                <w:lang w:val="en-US" w:eastAsia="zh-CN" w:bidi="ar-SA"/>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327" w:type="dxa"/>
            <w:vAlign w:val="top"/>
          </w:tcPr>
          <w:p>
            <w:pPr>
              <w:jc w:val="left"/>
              <w:outlineLvl w:val="0"/>
              <w:rPr>
                <w:rFonts w:hint="eastAsia" w:ascii="宋体" w:hAnsi="宋体" w:eastAsia="宋体" w:cs="Times New Roman"/>
                <w:b w:val="0"/>
                <w:bCs/>
                <w:kern w:val="2"/>
                <w:sz w:val="24"/>
                <w:szCs w:val="24"/>
                <w:vertAlign w:val="baseline"/>
                <w:lang w:val="en-US" w:eastAsia="zh-CN" w:bidi="ar-SA"/>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9</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10</w:t>
            </w:r>
          </w:p>
        </w:tc>
        <w:tc>
          <w:tcPr>
            <w:tcW w:w="1327"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327" w:type="dxa"/>
            <w:vAlign w:val="center"/>
          </w:tcPr>
          <w:p>
            <w:pPr>
              <w:pStyle w:val="58"/>
              <w:rPr>
                <w:rFonts w:ascii="宋体" w:hAnsi="宋体" w:cs="宋体"/>
                <w:szCs w:val="24"/>
              </w:rPr>
            </w:pPr>
            <w:r>
              <w:rPr>
                <w:rFonts w:hint="eastAsia" w:ascii="宋体" w:hAnsi="宋体" w:cs="宋体"/>
                <w:szCs w:val="24"/>
              </w:rPr>
              <w:t>其他费用</w:t>
            </w: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327" w:type="dxa"/>
            <w:vAlign w:val="center"/>
          </w:tcPr>
          <w:p>
            <w:pPr>
              <w:rPr>
                <w:rFonts w:ascii="宋体" w:hAnsi="宋体" w:cs="宋体"/>
                <w:sz w:val="24"/>
                <w:szCs w:val="24"/>
              </w:rPr>
            </w:pPr>
            <w:r>
              <w:rPr>
                <w:rFonts w:hint="eastAsia" w:ascii="宋体" w:hAnsi="宋体" w:cs="宋体"/>
                <w:sz w:val="24"/>
                <w:szCs w:val="24"/>
              </w:rPr>
              <w:t>…</w:t>
            </w: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327" w:type="dxa"/>
            <w:vAlign w:val="center"/>
          </w:tcPr>
          <w:p>
            <w:pPr>
              <w:pStyle w:val="58"/>
              <w:rPr>
                <w:rFonts w:ascii="宋体" w:hAnsi="宋体" w:cs="宋体"/>
                <w:szCs w:val="24"/>
              </w:rPr>
            </w:pPr>
            <w:r>
              <w:rPr>
                <w:rFonts w:hint="eastAsia" w:ascii="宋体" w:hAnsi="宋体" w:cs="宋体"/>
                <w:szCs w:val="24"/>
              </w:rPr>
              <w:t>…</w:t>
            </w: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327" w:type="dxa"/>
            <w:vAlign w:val="center"/>
          </w:tcPr>
          <w:p>
            <w:pPr>
              <w:rPr>
                <w:rFonts w:ascii="宋体" w:hAnsi="宋体" w:cs="宋体"/>
                <w:sz w:val="24"/>
                <w:szCs w:val="24"/>
              </w:rPr>
            </w:pPr>
            <w:r>
              <w:rPr>
                <w:rFonts w:hint="eastAsia" w:ascii="宋体" w:hAnsi="宋体" w:cs="宋体"/>
                <w:sz w:val="24"/>
                <w:szCs w:val="24"/>
              </w:rPr>
              <w:t>…</w:t>
            </w:r>
          </w:p>
        </w:tc>
        <w:tc>
          <w:tcPr>
            <w:tcW w:w="1529" w:type="dxa"/>
            <w:vAlign w:val="center"/>
          </w:tcPr>
          <w:p>
            <w:pPr>
              <w:rPr>
                <w:rFonts w:ascii="宋体" w:hAnsi="宋体" w:cs="宋体"/>
                <w:sz w:val="24"/>
                <w:szCs w:val="24"/>
              </w:rPr>
            </w:pPr>
          </w:p>
        </w:tc>
        <w:tc>
          <w:tcPr>
            <w:tcW w:w="1529"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786"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1051" w:type="dxa"/>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113"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732" w:type="dxa"/>
            <w:gridSpan w:val="6"/>
            <w:vAlign w:val="center"/>
          </w:tcPr>
          <w:p>
            <w:pPr>
              <w:rPr>
                <w:rFonts w:ascii="宋体" w:hAnsi="宋体" w:cs="宋体"/>
                <w:sz w:val="24"/>
                <w:szCs w:val="24"/>
              </w:rPr>
            </w:pPr>
          </w:p>
        </w:tc>
        <w:tc>
          <w:tcPr>
            <w:tcW w:w="784" w:type="dxa"/>
            <w:vAlign w:val="center"/>
          </w:tcPr>
          <w:p>
            <w:pPr>
              <w:rPr>
                <w:rFonts w:ascii="宋体" w:hAnsi="宋体" w:cs="宋体"/>
                <w:sz w:val="24"/>
                <w:szCs w:val="24"/>
              </w:rPr>
            </w:pPr>
          </w:p>
        </w:tc>
      </w:tr>
    </w:tbl>
    <w:p>
      <w:pPr>
        <w:pStyle w:val="17"/>
        <w:spacing w:line="360" w:lineRule="auto"/>
        <w:rPr>
          <w:rFonts w:ascii="宋体" w:hAnsi="宋体" w:eastAsia="宋体" w:cs="宋体"/>
          <w:b/>
          <w:bCs/>
          <w:sz w:val="24"/>
        </w:rPr>
      </w:pPr>
    </w:p>
    <w:p>
      <w:pPr>
        <w:pStyle w:val="17"/>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2、表中须明确列出所投产品的货物名称、品牌、型号规格、原产地及生产厂商，否则可能导致投标无效。</w:t>
      </w:r>
      <w:bookmarkStart w:id="32" w:name="_Toc21877"/>
    </w:p>
    <w:p>
      <w:pPr>
        <w:pStyle w:val="5"/>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bookmarkEnd w:id="32"/>
    </w:p>
    <w:p>
      <w:pPr>
        <w:pStyle w:val="5"/>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2"/>
      </w:pPr>
    </w:p>
    <w:p>
      <w:pPr>
        <w:pStyle w:val="5"/>
        <w:wordWrap w:val="0"/>
        <w:spacing w:before="0" w:after="0" w:line="560" w:lineRule="exact"/>
        <w:rPr>
          <w:rFonts w:ascii="宋体" w:hAnsi="宋体" w:eastAsia="宋体" w:cs="宋体"/>
          <w:sz w:val="24"/>
          <w:szCs w:val="24"/>
        </w:rPr>
      </w:pPr>
      <w:bookmarkStart w:id="34" w:name="_Toc13504"/>
      <w:r>
        <w:rPr>
          <w:rFonts w:hint="eastAsia" w:ascii="宋体" w:hAnsi="宋体" w:eastAsia="宋体" w:cs="宋体"/>
          <w:sz w:val="24"/>
          <w:szCs w:val="24"/>
        </w:rPr>
        <w:t>附件三</w:t>
      </w:r>
      <w:bookmarkEnd w:id="34"/>
    </w:p>
    <w:p>
      <w:pPr>
        <w:pStyle w:val="5"/>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spacing w:before="0" w:after="0" w:line="560" w:lineRule="exact"/>
        <w:rPr>
          <w:rFonts w:hint="eastAsia" w:ascii="宋体" w:hAnsi="宋体" w:eastAsia="宋体" w:cs="宋体"/>
          <w:sz w:val="24"/>
          <w:szCs w:val="24"/>
        </w:rPr>
      </w:pPr>
      <w:bookmarkStart w:id="36" w:name="_Toc16258"/>
    </w:p>
    <w:p>
      <w:pPr>
        <w:rPr>
          <w:rFonts w:hint="eastAsia"/>
        </w:rPr>
      </w:pPr>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5"/>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6"/>
        <w:rPr>
          <w:sz w:val="24"/>
          <w:szCs w:val="24"/>
          <w:lang w:val="en-US"/>
        </w:rPr>
      </w:pPr>
    </w:p>
    <w:p/>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5"/>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5"/>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2"/>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供货及安装期限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6"/>
        <w:spacing w:before="0" w:after="0"/>
        <w:rPr>
          <w:sz w:val="24"/>
          <w:szCs w:val="24"/>
        </w:rPr>
      </w:pPr>
      <w:r>
        <w:rPr>
          <w:rFonts w:hint="eastAsia"/>
          <w:sz w:val="24"/>
          <w:szCs w:val="24"/>
        </w:rPr>
        <w:br w:type="page"/>
      </w:r>
    </w:p>
    <w:p>
      <w:pPr>
        <w:pStyle w:val="5"/>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5"/>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5"/>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5"/>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。如果我单位有幸成为成交人，我单位将以二轮报价完成本次采购的全部工作，施工期间不再调整。</w:t>
      </w:r>
    </w:p>
    <w:p>
      <w:pPr>
        <w:pStyle w:val="2"/>
        <w:ind w:firstLine="120" w:firstLineChars="50"/>
        <w:rPr>
          <w:rFonts w:ascii="宋体" w:hAnsi="宋体" w:eastAsia="宋体"/>
        </w:rPr>
      </w:pPr>
      <w:r>
        <w:rPr>
          <w:rFonts w:hint="eastAsia" w:ascii="宋体" w:hAnsi="宋体" w:eastAsia="宋体"/>
        </w:rPr>
        <w:t>2、其他部分与响应性文件内容一致。</w:t>
      </w:r>
    </w:p>
    <w:p>
      <w:pPr>
        <w:pStyle w:val="2"/>
        <w:ind w:firstLine="120" w:firstLineChars="50"/>
        <w:rPr>
          <w:rFonts w:hint="eastAsia" w:ascii="宋体" w:hAnsi="宋体" w:eastAsia="宋体"/>
        </w:rPr>
      </w:pPr>
      <w:r>
        <w:rPr>
          <w:rFonts w:hint="eastAsia" w:ascii="宋体" w:hAnsi="宋体" w:eastAsia="宋体"/>
        </w:rPr>
        <w:t>3、其他说明：</w:t>
      </w:r>
    </w:p>
    <w:p>
      <w:pPr>
        <w:pStyle w:val="2"/>
        <w:ind w:firstLine="120" w:firstLineChars="50"/>
        <w:rPr>
          <w:rFonts w:hint="eastAsia" w:ascii="宋体" w:hAnsi="宋体" w:eastAsia="宋体"/>
        </w:rPr>
      </w:pPr>
    </w:p>
    <w:p>
      <w:pPr>
        <w:pStyle w:val="2"/>
        <w:ind w:firstLine="211"/>
        <w:rPr>
          <w:rFonts w:ascii="宋体" w:hAnsi="宋体" w:eastAsia="宋体"/>
        </w:rPr>
      </w:pPr>
      <w:r>
        <w:rPr>
          <w:rFonts w:hint="eastAsia" w:ascii="宋体" w:hAnsi="宋体" w:eastAsia="宋体"/>
        </w:rPr>
        <w:t>相对于第一轮报价同比例下浮</w:t>
      </w:r>
      <w:r>
        <w:rPr>
          <w:rFonts w:hint="eastAsia" w:ascii="宋体" w:hAnsi="宋体" w:eastAsia="宋体"/>
          <w:u w:val="single"/>
        </w:rPr>
        <w:t xml:space="preserve">     </w:t>
      </w:r>
      <w:r>
        <w:rPr>
          <w:rFonts w:hint="eastAsia" w:ascii="宋体" w:hAnsi="宋体" w:eastAsia="宋体"/>
        </w:rPr>
        <w:t>%</w:t>
      </w:r>
    </w:p>
    <w:p>
      <w:pPr>
        <w:pStyle w:val="2"/>
        <w:ind w:firstLine="211"/>
        <w:rPr>
          <w:rFonts w:ascii="宋体" w:hAnsi="宋体" w:eastAsia="宋体"/>
        </w:rPr>
      </w:pPr>
      <w:r>
        <w:rPr>
          <w:rFonts w:hint="eastAsia" w:ascii="宋体" w:hAnsi="宋体" w:eastAsia="宋体"/>
        </w:rPr>
        <w:t>成交供应商后期结算的所有分部分项工程量报价，为第一轮报价同比例下浮。</w:t>
      </w: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法定代表人或委托代理人：（签字或盖章）</w:t>
      </w:r>
    </w:p>
    <w:p>
      <w:pPr>
        <w:pStyle w:val="2"/>
        <w:ind w:firstLine="210"/>
        <w:jc w:val="right"/>
        <w:rPr>
          <w:rFonts w:ascii="宋体" w:hAnsi="宋体" w:eastAsia="宋体"/>
        </w:rPr>
      </w:pPr>
    </w:p>
    <w:p>
      <w:pPr>
        <w:pStyle w:val="2"/>
        <w:ind w:firstLine="210"/>
        <w:jc w:val="right"/>
        <w:rPr>
          <w:rFonts w:ascii="宋体" w:hAnsi="宋体" w:eastAsia="宋体"/>
        </w:rPr>
      </w:pPr>
      <w:r>
        <w:rPr>
          <w:rFonts w:hint="eastAsia" w:ascii="宋体" w:hAnsi="宋体" w:eastAsia="宋体"/>
        </w:rPr>
        <w:t>日期：年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altName w:val="Malgun Gothic"/>
    <w:panose1 w:val="00000000000000000000"/>
    <w:charset w:val="81"/>
    <w:family w:val="modern"/>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15</w:t>
    </w:r>
    <w:r>
      <w:rPr>
        <w:rStyle w:val="36"/>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6"/>
      </w:rPr>
    </w:pPr>
    <w:r>
      <w:rPr>
        <w:rStyle w:val="36"/>
      </w:rPr>
      <w:fldChar w:fldCharType="begin"/>
    </w:r>
    <w:r>
      <w:rPr>
        <w:rStyle w:val="36"/>
      </w:rPr>
      <w:instrText xml:space="preserve">PAGE  </w:instrText>
    </w:r>
    <w:r>
      <w:rPr>
        <w:rStyle w:val="36"/>
      </w:rPr>
      <w:fldChar w:fldCharType="end"/>
    </w:r>
  </w:p>
  <w:p>
    <w:pPr>
      <w:pStyle w:val="2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92B47"/>
    <w:multiLevelType w:val="singleLevel"/>
    <w:tmpl w:val="87C92B47"/>
    <w:lvl w:ilvl="0" w:tentative="0">
      <w:start w:val="1"/>
      <w:numFmt w:val="decimal"/>
      <w:lvlText w:val="%1."/>
      <w:lvlJc w:val="left"/>
      <w:pPr>
        <w:tabs>
          <w:tab w:val="left" w:pos="312"/>
        </w:tabs>
      </w:pPr>
    </w:lvl>
  </w:abstractNum>
  <w:abstractNum w:abstractNumId="1">
    <w:nsid w:val="B984B513"/>
    <w:multiLevelType w:val="singleLevel"/>
    <w:tmpl w:val="B984B513"/>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E56CC"/>
    <w:rsid w:val="005F7B2C"/>
    <w:rsid w:val="00654D2C"/>
    <w:rsid w:val="00661562"/>
    <w:rsid w:val="006B21E7"/>
    <w:rsid w:val="006D3DB9"/>
    <w:rsid w:val="006F01D1"/>
    <w:rsid w:val="006F3D3E"/>
    <w:rsid w:val="00703A7D"/>
    <w:rsid w:val="00767BB2"/>
    <w:rsid w:val="0079235B"/>
    <w:rsid w:val="007B00FB"/>
    <w:rsid w:val="007E5141"/>
    <w:rsid w:val="00810784"/>
    <w:rsid w:val="00821EE8"/>
    <w:rsid w:val="0086536B"/>
    <w:rsid w:val="008A6D3D"/>
    <w:rsid w:val="008B0E3B"/>
    <w:rsid w:val="008C0ED2"/>
    <w:rsid w:val="008D216E"/>
    <w:rsid w:val="00922A63"/>
    <w:rsid w:val="00925990"/>
    <w:rsid w:val="00940C0D"/>
    <w:rsid w:val="0094320A"/>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636738"/>
    <w:rsid w:val="018401ED"/>
    <w:rsid w:val="01DC722C"/>
    <w:rsid w:val="029D3A7B"/>
    <w:rsid w:val="03340CE1"/>
    <w:rsid w:val="0396143C"/>
    <w:rsid w:val="03B22505"/>
    <w:rsid w:val="04C3357A"/>
    <w:rsid w:val="04EE7346"/>
    <w:rsid w:val="05045387"/>
    <w:rsid w:val="06076F47"/>
    <w:rsid w:val="06DC7A1D"/>
    <w:rsid w:val="06DC7E7F"/>
    <w:rsid w:val="06E95B77"/>
    <w:rsid w:val="07267565"/>
    <w:rsid w:val="075D757C"/>
    <w:rsid w:val="086B1114"/>
    <w:rsid w:val="094617E8"/>
    <w:rsid w:val="09571239"/>
    <w:rsid w:val="096C762D"/>
    <w:rsid w:val="09B95F2A"/>
    <w:rsid w:val="0A541EFC"/>
    <w:rsid w:val="0A92111C"/>
    <w:rsid w:val="0AF82AC1"/>
    <w:rsid w:val="0B595427"/>
    <w:rsid w:val="0B66533A"/>
    <w:rsid w:val="0B84414D"/>
    <w:rsid w:val="0BD46BAD"/>
    <w:rsid w:val="0CEC43CA"/>
    <w:rsid w:val="0D4958B8"/>
    <w:rsid w:val="0D8831B8"/>
    <w:rsid w:val="0DCB6C37"/>
    <w:rsid w:val="0DE34763"/>
    <w:rsid w:val="0DE60AB7"/>
    <w:rsid w:val="0E346850"/>
    <w:rsid w:val="0E404088"/>
    <w:rsid w:val="0EA113FA"/>
    <w:rsid w:val="0F127C25"/>
    <w:rsid w:val="0F324178"/>
    <w:rsid w:val="0F390E8E"/>
    <w:rsid w:val="0FE548BD"/>
    <w:rsid w:val="10025D9F"/>
    <w:rsid w:val="1018304A"/>
    <w:rsid w:val="102B7267"/>
    <w:rsid w:val="10B55D2F"/>
    <w:rsid w:val="10F57A76"/>
    <w:rsid w:val="116245DB"/>
    <w:rsid w:val="11721723"/>
    <w:rsid w:val="11806DE8"/>
    <w:rsid w:val="119066D9"/>
    <w:rsid w:val="11AA4D71"/>
    <w:rsid w:val="11E43C5A"/>
    <w:rsid w:val="135C3D02"/>
    <w:rsid w:val="14767152"/>
    <w:rsid w:val="148E6F23"/>
    <w:rsid w:val="14CC0084"/>
    <w:rsid w:val="151606CF"/>
    <w:rsid w:val="15614DA8"/>
    <w:rsid w:val="157C4FBE"/>
    <w:rsid w:val="15AD79BC"/>
    <w:rsid w:val="16066864"/>
    <w:rsid w:val="1668527D"/>
    <w:rsid w:val="18203D7A"/>
    <w:rsid w:val="18766644"/>
    <w:rsid w:val="192B2CC7"/>
    <w:rsid w:val="193B04A8"/>
    <w:rsid w:val="194F0026"/>
    <w:rsid w:val="1999451F"/>
    <w:rsid w:val="19BA6460"/>
    <w:rsid w:val="1A164BE3"/>
    <w:rsid w:val="1A6C248D"/>
    <w:rsid w:val="1AB04CE2"/>
    <w:rsid w:val="1AD95190"/>
    <w:rsid w:val="1AF307AC"/>
    <w:rsid w:val="1B09389A"/>
    <w:rsid w:val="1BB038F0"/>
    <w:rsid w:val="1BF420BA"/>
    <w:rsid w:val="1C1A0C17"/>
    <w:rsid w:val="1C405AE5"/>
    <w:rsid w:val="1C4B1646"/>
    <w:rsid w:val="1C7F2626"/>
    <w:rsid w:val="1D2A54DB"/>
    <w:rsid w:val="1D445353"/>
    <w:rsid w:val="1DF072C6"/>
    <w:rsid w:val="1E191911"/>
    <w:rsid w:val="1E3619B5"/>
    <w:rsid w:val="1EA50C1A"/>
    <w:rsid w:val="1F2821D5"/>
    <w:rsid w:val="1FB614C4"/>
    <w:rsid w:val="2018097D"/>
    <w:rsid w:val="20460843"/>
    <w:rsid w:val="20AE7322"/>
    <w:rsid w:val="2139648A"/>
    <w:rsid w:val="217C7DC3"/>
    <w:rsid w:val="21993B18"/>
    <w:rsid w:val="21D504FE"/>
    <w:rsid w:val="21FB40B6"/>
    <w:rsid w:val="22464B8D"/>
    <w:rsid w:val="22554C75"/>
    <w:rsid w:val="22573A45"/>
    <w:rsid w:val="225D7B64"/>
    <w:rsid w:val="226E6714"/>
    <w:rsid w:val="229A201B"/>
    <w:rsid w:val="24917813"/>
    <w:rsid w:val="249D0561"/>
    <w:rsid w:val="24A814C9"/>
    <w:rsid w:val="254D6D60"/>
    <w:rsid w:val="25602B83"/>
    <w:rsid w:val="25606289"/>
    <w:rsid w:val="26377C1B"/>
    <w:rsid w:val="269C26E3"/>
    <w:rsid w:val="269D4C8D"/>
    <w:rsid w:val="26B42AF5"/>
    <w:rsid w:val="26C32FC1"/>
    <w:rsid w:val="27186E89"/>
    <w:rsid w:val="27410CB9"/>
    <w:rsid w:val="274B2E46"/>
    <w:rsid w:val="274C48F7"/>
    <w:rsid w:val="276D441A"/>
    <w:rsid w:val="279E0481"/>
    <w:rsid w:val="27C877CE"/>
    <w:rsid w:val="280A19AF"/>
    <w:rsid w:val="28186BBF"/>
    <w:rsid w:val="2861396F"/>
    <w:rsid w:val="28994104"/>
    <w:rsid w:val="28B44010"/>
    <w:rsid w:val="29994B02"/>
    <w:rsid w:val="29D711E5"/>
    <w:rsid w:val="2A0A08C3"/>
    <w:rsid w:val="2A534564"/>
    <w:rsid w:val="2A574DA8"/>
    <w:rsid w:val="2A882197"/>
    <w:rsid w:val="2A8F7FA3"/>
    <w:rsid w:val="2B0D7B51"/>
    <w:rsid w:val="2B447167"/>
    <w:rsid w:val="2B511300"/>
    <w:rsid w:val="2B9D7B7A"/>
    <w:rsid w:val="2BDF140E"/>
    <w:rsid w:val="2C852C81"/>
    <w:rsid w:val="2CB01C7B"/>
    <w:rsid w:val="2CCD3F7D"/>
    <w:rsid w:val="2D1049D7"/>
    <w:rsid w:val="2D206557"/>
    <w:rsid w:val="2D326D9A"/>
    <w:rsid w:val="2D3630A0"/>
    <w:rsid w:val="2D4B76FA"/>
    <w:rsid w:val="2E6C6E5C"/>
    <w:rsid w:val="2E8648A5"/>
    <w:rsid w:val="2ED87B2D"/>
    <w:rsid w:val="2F6246CC"/>
    <w:rsid w:val="2F697AF7"/>
    <w:rsid w:val="2FC73904"/>
    <w:rsid w:val="30A455D3"/>
    <w:rsid w:val="30C36306"/>
    <w:rsid w:val="31394322"/>
    <w:rsid w:val="3184480F"/>
    <w:rsid w:val="31CA6A4E"/>
    <w:rsid w:val="31E36095"/>
    <w:rsid w:val="32066CD4"/>
    <w:rsid w:val="323A4EE4"/>
    <w:rsid w:val="32825524"/>
    <w:rsid w:val="32BC5F4D"/>
    <w:rsid w:val="32E863B4"/>
    <w:rsid w:val="33302C20"/>
    <w:rsid w:val="33AD45B4"/>
    <w:rsid w:val="342F55F5"/>
    <w:rsid w:val="34532BA4"/>
    <w:rsid w:val="34850517"/>
    <w:rsid w:val="35D66685"/>
    <w:rsid w:val="36024564"/>
    <w:rsid w:val="36480BE4"/>
    <w:rsid w:val="369E0A63"/>
    <w:rsid w:val="36A9634B"/>
    <w:rsid w:val="36F7425C"/>
    <w:rsid w:val="37172A0D"/>
    <w:rsid w:val="375A4B09"/>
    <w:rsid w:val="38014B60"/>
    <w:rsid w:val="38206B1C"/>
    <w:rsid w:val="383B5A8E"/>
    <w:rsid w:val="38827D67"/>
    <w:rsid w:val="38EF1B2A"/>
    <w:rsid w:val="38F52AFD"/>
    <w:rsid w:val="397E2198"/>
    <w:rsid w:val="39E06304"/>
    <w:rsid w:val="3A23136C"/>
    <w:rsid w:val="3A8F3EBA"/>
    <w:rsid w:val="3AB10259"/>
    <w:rsid w:val="3ABA6222"/>
    <w:rsid w:val="3AC34E33"/>
    <w:rsid w:val="3B301F44"/>
    <w:rsid w:val="3BDF73C5"/>
    <w:rsid w:val="3C5F5464"/>
    <w:rsid w:val="3CAB38AC"/>
    <w:rsid w:val="3D03222A"/>
    <w:rsid w:val="3D094687"/>
    <w:rsid w:val="3D4A4128"/>
    <w:rsid w:val="3D8D793F"/>
    <w:rsid w:val="3E047963"/>
    <w:rsid w:val="3E295254"/>
    <w:rsid w:val="3E342FB5"/>
    <w:rsid w:val="3E8E5BBA"/>
    <w:rsid w:val="3EB6663D"/>
    <w:rsid w:val="3ED76DD8"/>
    <w:rsid w:val="3F23757D"/>
    <w:rsid w:val="3F8E73B1"/>
    <w:rsid w:val="3FDB6B88"/>
    <w:rsid w:val="403943FC"/>
    <w:rsid w:val="407B3EBF"/>
    <w:rsid w:val="409264B2"/>
    <w:rsid w:val="409511B9"/>
    <w:rsid w:val="40AE0778"/>
    <w:rsid w:val="40B161CC"/>
    <w:rsid w:val="416B5A1E"/>
    <w:rsid w:val="416F38C3"/>
    <w:rsid w:val="41E47295"/>
    <w:rsid w:val="41F926C8"/>
    <w:rsid w:val="423A54AE"/>
    <w:rsid w:val="42901376"/>
    <w:rsid w:val="42DA1D70"/>
    <w:rsid w:val="42FF6CFF"/>
    <w:rsid w:val="432E11B4"/>
    <w:rsid w:val="43452260"/>
    <w:rsid w:val="438C4E1A"/>
    <w:rsid w:val="438D6040"/>
    <w:rsid w:val="43A11A0D"/>
    <w:rsid w:val="43DC2322"/>
    <w:rsid w:val="441B13DA"/>
    <w:rsid w:val="451B4EA1"/>
    <w:rsid w:val="45AE57CA"/>
    <w:rsid w:val="462633F2"/>
    <w:rsid w:val="46440499"/>
    <w:rsid w:val="46771AC0"/>
    <w:rsid w:val="46984E13"/>
    <w:rsid w:val="46AE3BE0"/>
    <w:rsid w:val="46EB39AE"/>
    <w:rsid w:val="479B001B"/>
    <w:rsid w:val="47AF5F3E"/>
    <w:rsid w:val="47D24C0C"/>
    <w:rsid w:val="48A14890"/>
    <w:rsid w:val="48B66660"/>
    <w:rsid w:val="490D4E34"/>
    <w:rsid w:val="49500279"/>
    <w:rsid w:val="4990220A"/>
    <w:rsid w:val="49E87B64"/>
    <w:rsid w:val="4A0D0E50"/>
    <w:rsid w:val="4A2D5CB1"/>
    <w:rsid w:val="4A7A7C93"/>
    <w:rsid w:val="4B8A4ACB"/>
    <w:rsid w:val="4BA51BE0"/>
    <w:rsid w:val="4BB01238"/>
    <w:rsid w:val="4BC35AC6"/>
    <w:rsid w:val="4C3F1A69"/>
    <w:rsid w:val="4C4C7D4D"/>
    <w:rsid w:val="4CB32AB9"/>
    <w:rsid w:val="4CE02DC4"/>
    <w:rsid w:val="4D470184"/>
    <w:rsid w:val="4D714797"/>
    <w:rsid w:val="4D9F0EEA"/>
    <w:rsid w:val="4E5D38F7"/>
    <w:rsid w:val="4F095D32"/>
    <w:rsid w:val="4FF13CC7"/>
    <w:rsid w:val="50384719"/>
    <w:rsid w:val="506B7F7F"/>
    <w:rsid w:val="517F3453"/>
    <w:rsid w:val="5196724D"/>
    <w:rsid w:val="51CC3CE8"/>
    <w:rsid w:val="527F6E1F"/>
    <w:rsid w:val="52B27E17"/>
    <w:rsid w:val="52F61709"/>
    <w:rsid w:val="53084C40"/>
    <w:rsid w:val="532D452E"/>
    <w:rsid w:val="53457DFB"/>
    <w:rsid w:val="53E325C7"/>
    <w:rsid w:val="54073585"/>
    <w:rsid w:val="547403F3"/>
    <w:rsid w:val="54C87254"/>
    <w:rsid w:val="54D878C8"/>
    <w:rsid w:val="54E63888"/>
    <w:rsid w:val="55580A4D"/>
    <w:rsid w:val="55707C13"/>
    <w:rsid w:val="55DC1770"/>
    <w:rsid w:val="55FA54EC"/>
    <w:rsid w:val="561133F2"/>
    <w:rsid w:val="583F02CE"/>
    <w:rsid w:val="584D0D02"/>
    <w:rsid w:val="58BD10F2"/>
    <w:rsid w:val="58CD33C2"/>
    <w:rsid w:val="58F27C75"/>
    <w:rsid w:val="59413F5D"/>
    <w:rsid w:val="59471324"/>
    <w:rsid w:val="594B1F0A"/>
    <w:rsid w:val="59564999"/>
    <w:rsid w:val="596D17C6"/>
    <w:rsid w:val="59AC6E3B"/>
    <w:rsid w:val="5A435D8A"/>
    <w:rsid w:val="5A5E2E41"/>
    <w:rsid w:val="5A6C07A5"/>
    <w:rsid w:val="5A82051B"/>
    <w:rsid w:val="5A9504D4"/>
    <w:rsid w:val="5ACE6B2E"/>
    <w:rsid w:val="5AF5280F"/>
    <w:rsid w:val="5B9E7479"/>
    <w:rsid w:val="5C167580"/>
    <w:rsid w:val="5CD943C7"/>
    <w:rsid w:val="5D091F60"/>
    <w:rsid w:val="5D5774F5"/>
    <w:rsid w:val="5D8409B6"/>
    <w:rsid w:val="5E4B7619"/>
    <w:rsid w:val="5E6D591C"/>
    <w:rsid w:val="5E70036E"/>
    <w:rsid w:val="5ED04CAC"/>
    <w:rsid w:val="5F912AC4"/>
    <w:rsid w:val="5FD14724"/>
    <w:rsid w:val="5FDF344A"/>
    <w:rsid w:val="60762EC9"/>
    <w:rsid w:val="609C58EC"/>
    <w:rsid w:val="610F743B"/>
    <w:rsid w:val="61A76748"/>
    <w:rsid w:val="61FA17AC"/>
    <w:rsid w:val="621C7591"/>
    <w:rsid w:val="62B731FE"/>
    <w:rsid w:val="62B81732"/>
    <w:rsid w:val="63423331"/>
    <w:rsid w:val="63680D1F"/>
    <w:rsid w:val="638E4B10"/>
    <w:rsid w:val="63E85DC1"/>
    <w:rsid w:val="64BA21CD"/>
    <w:rsid w:val="65B8080F"/>
    <w:rsid w:val="661D0174"/>
    <w:rsid w:val="662E05FC"/>
    <w:rsid w:val="66704DB4"/>
    <w:rsid w:val="66F345AB"/>
    <w:rsid w:val="66FB1475"/>
    <w:rsid w:val="67580AB8"/>
    <w:rsid w:val="67B00B51"/>
    <w:rsid w:val="67B0291B"/>
    <w:rsid w:val="67CB77A8"/>
    <w:rsid w:val="67CC7DB4"/>
    <w:rsid w:val="67DE34A8"/>
    <w:rsid w:val="68144590"/>
    <w:rsid w:val="68A5298E"/>
    <w:rsid w:val="68A67F29"/>
    <w:rsid w:val="68AD27AE"/>
    <w:rsid w:val="68E45114"/>
    <w:rsid w:val="695B7C58"/>
    <w:rsid w:val="695C1217"/>
    <w:rsid w:val="697D619C"/>
    <w:rsid w:val="69EE3D79"/>
    <w:rsid w:val="6ABA50AD"/>
    <w:rsid w:val="6ACD0440"/>
    <w:rsid w:val="6BFE46EA"/>
    <w:rsid w:val="6C027CA3"/>
    <w:rsid w:val="6CB41773"/>
    <w:rsid w:val="6D004975"/>
    <w:rsid w:val="6DEA0B0C"/>
    <w:rsid w:val="6E561B2F"/>
    <w:rsid w:val="6E5E398B"/>
    <w:rsid w:val="6E966F04"/>
    <w:rsid w:val="714D4C96"/>
    <w:rsid w:val="71C73000"/>
    <w:rsid w:val="71EC4F59"/>
    <w:rsid w:val="721756F7"/>
    <w:rsid w:val="724F268A"/>
    <w:rsid w:val="72817669"/>
    <w:rsid w:val="72AB1343"/>
    <w:rsid w:val="72AC65C5"/>
    <w:rsid w:val="7394079F"/>
    <w:rsid w:val="74BB1228"/>
    <w:rsid w:val="756B3B66"/>
    <w:rsid w:val="764322DF"/>
    <w:rsid w:val="76A9358B"/>
    <w:rsid w:val="76CF5E8C"/>
    <w:rsid w:val="76F405A9"/>
    <w:rsid w:val="770F21D1"/>
    <w:rsid w:val="777F2E28"/>
    <w:rsid w:val="781D3E98"/>
    <w:rsid w:val="78560209"/>
    <w:rsid w:val="785B197F"/>
    <w:rsid w:val="787A2EA0"/>
    <w:rsid w:val="788E4E2A"/>
    <w:rsid w:val="78973401"/>
    <w:rsid w:val="78E73F50"/>
    <w:rsid w:val="79431364"/>
    <w:rsid w:val="7947643F"/>
    <w:rsid w:val="79F77289"/>
    <w:rsid w:val="7A376F79"/>
    <w:rsid w:val="7A6774C5"/>
    <w:rsid w:val="7AF4539C"/>
    <w:rsid w:val="7B007DF7"/>
    <w:rsid w:val="7BFC04DF"/>
    <w:rsid w:val="7C651DBC"/>
    <w:rsid w:val="7C662C4B"/>
    <w:rsid w:val="7C777465"/>
    <w:rsid w:val="7C94407B"/>
    <w:rsid w:val="7D17272E"/>
    <w:rsid w:val="7DB40A20"/>
    <w:rsid w:val="7DCE0F85"/>
    <w:rsid w:val="7DF41D30"/>
    <w:rsid w:val="7E107C4A"/>
    <w:rsid w:val="7E136A50"/>
    <w:rsid w:val="7E31623F"/>
    <w:rsid w:val="7E542244"/>
    <w:rsid w:val="7E5740CF"/>
    <w:rsid w:val="7F0A608F"/>
    <w:rsid w:val="7F5611EF"/>
    <w:rsid w:val="7F652CC7"/>
    <w:rsid w:val="7F850ECB"/>
    <w:rsid w:val="7FB95823"/>
    <w:rsid w:val="7FBF1015"/>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3"/>
    <w:qFormat/>
    <w:uiPriority w:val="0"/>
    <w:pPr>
      <w:keepNext/>
      <w:outlineLvl w:val="0"/>
    </w:pPr>
    <w:rPr>
      <w:sz w:val="28"/>
      <w:szCs w:val="24"/>
    </w:rPr>
  </w:style>
  <w:style w:type="paragraph" w:styleId="5">
    <w:name w:val="heading 2"/>
    <w:basedOn w:val="1"/>
    <w:next w:val="1"/>
    <w:link w:val="44"/>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45"/>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46"/>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link w:val="59"/>
    <w:qFormat/>
    <w:uiPriority w:val="0"/>
    <w:pPr>
      <w:spacing w:after="120"/>
    </w:pPr>
    <w:rPr>
      <w:szCs w:val="24"/>
    </w:rPr>
  </w:style>
  <w:style w:type="paragraph" w:styleId="8">
    <w:name w:val="toc 7"/>
    <w:basedOn w:val="1"/>
    <w:next w:val="1"/>
    <w:qFormat/>
    <w:uiPriority w:val="0"/>
    <w:pPr>
      <w:ind w:left="2520" w:leftChars="1200"/>
    </w:pPr>
  </w:style>
  <w:style w:type="paragraph" w:styleId="9">
    <w:name w:val="Document Map"/>
    <w:basedOn w:val="1"/>
    <w:link w:val="70"/>
    <w:qFormat/>
    <w:uiPriority w:val="0"/>
    <w:pPr>
      <w:shd w:val="clear" w:color="auto" w:fill="000080"/>
    </w:pPr>
  </w:style>
  <w:style w:type="paragraph" w:styleId="10">
    <w:name w:val="annotation text"/>
    <w:basedOn w:val="1"/>
    <w:link w:val="64"/>
    <w:semiHidden/>
    <w:qFormat/>
    <w:uiPriority w:val="99"/>
    <w:pPr>
      <w:jc w:val="left"/>
    </w:pPr>
  </w:style>
  <w:style w:type="paragraph" w:styleId="11">
    <w:name w:val="Body Text 3"/>
    <w:basedOn w:val="1"/>
    <w:link w:val="84"/>
    <w:unhideWhenUsed/>
    <w:qFormat/>
    <w:uiPriority w:val="99"/>
    <w:pPr>
      <w:spacing w:after="120"/>
    </w:pPr>
    <w:rPr>
      <w:rFonts w:ascii="Calibri" w:hAnsi="Calibri"/>
      <w:sz w:val="16"/>
      <w:szCs w:val="16"/>
      <w:lang w:val="zh-CN"/>
    </w:rPr>
  </w:style>
  <w:style w:type="paragraph" w:styleId="12">
    <w:name w:val="Body Text Indent"/>
    <w:basedOn w:val="1"/>
    <w:link w:val="48"/>
    <w:qFormat/>
    <w:uiPriority w:val="0"/>
    <w:pPr>
      <w:ind w:firstLine="540"/>
    </w:pPr>
    <w:rPr>
      <w:rFonts w:eastAsia="仿宋_GB2312"/>
      <w:sz w:val="28"/>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67"/>
    <w:qFormat/>
    <w:uiPriority w:val="0"/>
    <w:rPr>
      <w:rFonts w:ascii="宋体" w:hAnsi="Courier New" w:cstheme="minorBidi"/>
      <w:szCs w:val="22"/>
    </w:rPr>
  </w:style>
  <w:style w:type="paragraph" w:styleId="16">
    <w:name w:val="toc 8"/>
    <w:basedOn w:val="1"/>
    <w:next w:val="1"/>
    <w:qFormat/>
    <w:uiPriority w:val="0"/>
    <w:pPr>
      <w:ind w:left="2940" w:leftChars="1400"/>
    </w:pPr>
  </w:style>
  <w:style w:type="paragraph" w:styleId="17">
    <w:name w:val="Date"/>
    <w:basedOn w:val="1"/>
    <w:next w:val="1"/>
    <w:link w:val="47"/>
    <w:qFormat/>
    <w:uiPriority w:val="0"/>
    <w:rPr>
      <w:rFonts w:ascii="Arial" w:hAnsi="Arial" w:eastAsia="楷体_GB2312"/>
      <w:sz w:val="28"/>
    </w:rPr>
  </w:style>
  <w:style w:type="paragraph" w:styleId="18">
    <w:name w:val="Body Text Indent 2"/>
    <w:basedOn w:val="1"/>
    <w:link w:val="50"/>
    <w:qFormat/>
    <w:uiPriority w:val="0"/>
    <w:pPr>
      <w:tabs>
        <w:tab w:val="left" w:pos="720"/>
      </w:tabs>
      <w:ind w:right="-506" w:rightChars="-241" w:firstLine="538" w:firstLineChars="192"/>
    </w:pPr>
    <w:rPr>
      <w:rFonts w:eastAsia="仿宋_GB2312"/>
      <w:sz w:val="28"/>
    </w:rPr>
  </w:style>
  <w:style w:type="paragraph" w:styleId="19">
    <w:name w:val="Balloon Text"/>
    <w:basedOn w:val="1"/>
    <w:link w:val="61"/>
    <w:qFormat/>
    <w:uiPriority w:val="0"/>
    <w:rPr>
      <w:sz w:val="18"/>
      <w:szCs w:val="18"/>
    </w:rPr>
  </w:style>
  <w:style w:type="paragraph" w:styleId="20">
    <w:name w:val="footer"/>
    <w:basedOn w:val="1"/>
    <w:link w:val="42"/>
    <w:unhideWhenUsed/>
    <w:qFormat/>
    <w:uiPriority w:val="0"/>
    <w:pPr>
      <w:tabs>
        <w:tab w:val="center" w:pos="4153"/>
        <w:tab w:val="right" w:pos="8306"/>
      </w:tabs>
      <w:snapToGrid w:val="0"/>
      <w:jc w:val="left"/>
    </w:pPr>
    <w:rPr>
      <w:sz w:val="18"/>
      <w:szCs w:val="18"/>
    </w:rPr>
  </w:style>
  <w:style w:type="paragraph" w:styleId="21">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56"/>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10"/>
    <w:next w:val="10"/>
    <w:link w:val="65"/>
    <w:semiHidden/>
    <w:qFormat/>
    <w:uiPriority w:val="99"/>
    <w:rPr>
      <w:b/>
      <w:bCs/>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rPr>
  </w:style>
  <w:style w:type="character" w:styleId="36">
    <w:name w:val="page number"/>
    <w:basedOn w:val="34"/>
    <w:qFormat/>
    <w:uiPriority w:val="0"/>
  </w:style>
  <w:style w:type="character" w:styleId="37">
    <w:name w:val="FollowedHyperlink"/>
    <w:basedOn w:val="34"/>
    <w:unhideWhenUsed/>
    <w:qFormat/>
    <w:uiPriority w:val="99"/>
    <w:rPr>
      <w:color w:val="954F72" w:themeColor="followedHyperlink"/>
      <w:u w:val="single"/>
      <w14:textFill>
        <w14:solidFill>
          <w14:schemeClr w14:val="folHlink"/>
        </w14:solidFill>
      </w14:textFill>
    </w:rPr>
  </w:style>
  <w:style w:type="character" w:styleId="38">
    <w:name w:val="Hyperlink"/>
    <w:qFormat/>
    <w:uiPriority w:val="99"/>
    <w:rPr>
      <w:color w:val="0000FF"/>
      <w:u w:val="single"/>
    </w:rPr>
  </w:style>
  <w:style w:type="character" w:styleId="39">
    <w:name w:val="annotation reference"/>
    <w:semiHidden/>
    <w:qFormat/>
    <w:uiPriority w:val="99"/>
    <w:rPr>
      <w:sz w:val="21"/>
      <w:szCs w:val="21"/>
    </w:rPr>
  </w:style>
  <w:style w:type="paragraph" w:customStyle="1" w:styleId="40">
    <w:name w:val="列出段落1"/>
    <w:basedOn w:val="1"/>
    <w:qFormat/>
    <w:uiPriority w:val="0"/>
    <w:pPr>
      <w:ind w:firstLine="420" w:firstLineChars="200"/>
    </w:pPr>
    <w:rPr>
      <w:rFonts w:ascii="Calibri" w:hAnsi="Calibri"/>
      <w:szCs w:val="22"/>
    </w:rPr>
  </w:style>
  <w:style w:type="character" w:customStyle="1" w:styleId="41">
    <w:name w:val="页眉 Char"/>
    <w:basedOn w:val="34"/>
    <w:link w:val="21"/>
    <w:qFormat/>
    <w:uiPriority w:val="0"/>
    <w:rPr>
      <w:sz w:val="18"/>
      <w:szCs w:val="18"/>
    </w:rPr>
  </w:style>
  <w:style w:type="character" w:customStyle="1" w:styleId="42">
    <w:name w:val="页脚 Char"/>
    <w:basedOn w:val="34"/>
    <w:link w:val="20"/>
    <w:qFormat/>
    <w:uiPriority w:val="0"/>
    <w:rPr>
      <w:sz w:val="18"/>
      <w:szCs w:val="18"/>
    </w:rPr>
  </w:style>
  <w:style w:type="character" w:customStyle="1" w:styleId="43">
    <w:name w:val="标题 1 Char"/>
    <w:basedOn w:val="34"/>
    <w:link w:val="4"/>
    <w:qFormat/>
    <w:uiPriority w:val="0"/>
    <w:rPr>
      <w:rFonts w:ascii="Times New Roman" w:hAnsi="Times New Roman" w:eastAsia="宋体" w:cs="Times New Roman"/>
      <w:sz w:val="28"/>
      <w:szCs w:val="24"/>
    </w:rPr>
  </w:style>
  <w:style w:type="character" w:customStyle="1" w:styleId="44">
    <w:name w:val="标题 2 Char"/>
    <w:basedOn w:val="34"/>
    <w:link w:val="5"/>
    <w:qFormat/>
    <w:uiPriority w:val="0"/>
    <w:rPr>
      <w:rFonts w:ascii="Arial" w:hAnsi="Arial" w:eastAsia="黑体" w:cs="Times New Roman"/>
      <w:b/>
      <w:kern w:val="0"/>
      <w:sz w:val="32"/>
      <w:szCs w:val="20"/>
    </w:rPr>
  </w:style>
  <w:style w:type="character" w:customStyle="1" w:styleId="45">
    <w:name w:val="标题 3 Char"/>
    <w:basedOn w:val="34"/>
    <w:link w:val="6"/>
    <w:qFormat/>
    <w:uiPriority w:val="0"/>
    <w:rPr>
      <w:rFonts w:ascii="Times New Roman" w:hAnsi="Times New Roman" w:eastAsia="宋体" w:cs="Times New Roman"/>
      <w:b/>
      <w:bCs/>
      <w:sz w:val="32"/>
      <w:szCs w:val="32"/>
      <w:lang w:val="zh-CN" w:eastAsia="zh-CN"/>
    </w:rPr>
  </w:style>
  <w:style w:type="character" w:customStyle="1" w:styleId="46">
    <w:name w:val="标题 4 Char"/>
    <w:basedOn w:val="34"/>
    <w:link w:val="7"/>
    <w:qFormat/>
    <w:uiPriority w:val="0"/>
    <w:rPr>
      <w:rFonts w:ascii="Arial" w:hAnsi="Arial" w:eastAsia="黑体" w:cs="Times New Roman"/>
      <w:b/>
      <w:kern w:val="0"/>
      <w:sz w:val="28"/>
      <w:szCs w:val="20"/>
    </w:rPr>
  </w:style>
  <w:style w:type="character" w:customStyle="1" w:styleId="47">
    <w:name w:val="日期 Char"/>
    <w:basedOn w:val="34"/>
    <w:link w:val="17"/>
    <w:qFormat/>
    <w:uiPriority w:val="0"/>
    <w:rPr>
      <w:rFonts w:ascii="Arial" w:hAnsi="Arial" w:eastAsia="楷体_GB2312" w:cs="Times New Roman"/>
      <w:sz w:val="28"/>
      <w:szCs w:val="20"/>
    </w:rPr>
  </w:style>
  <w:style w:type="character" w:customStyle="1" w:styleId="48">
    <w:name w:val="正文文本缩进 Char"/>
    <w:basedOn w:val="34"/>
    <w:link w:val="12"/>
    <w:qFormat/>
    <w:uiPriority w:val="0"/>
    <w:rPr>
      <w:rFonts w:ascii="Times New Roman" w:hAnsi="Times New Roman" w:eastAsia="仿宋_GB2312" w:cs="Times New Roman"/>
      <w:sz w:val="28"/>
      <w:szCs w:val="20"/>
    </w:rPr>
  </w:style>
  <w:style w:type="paragraph" w:customStyle="1" w:styleId="49">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0">
    <w:name w:val="正文文本缩进 2 Char"/>
    <w:basedOn w:val="34"/>
    <w:link w:val="18"/>
    <w:qFormat/>
    <w:uiPriority w:val="0"/>
    <w:rPr>
      <w:rFonts w:ascii="Times New Roman" w:hAnsi="Times New Roman" w:eastAsia="仿宋_GB2312" w:cs="Times New Roman"/>
      <w:sz w:val="28"/>
      <w:szCs w:val="20"/>
    </w:rPr>
  </w:style>
  <w:style w:type="paragraph" w:customStyle="1" w:styleId="51">
    <w:name w:val="样式1"/>
    <w:basedOn w:val="1"/>
    <w:qFormat/>
    <w:uiPriority w:val="0"/>
    <w:pPr>
      <w:numPr>
        <w:ilvl w:val="0"/>
        <w:numId w:val="1"/>
      </w:numPr>
      <w:adjustRightInd w:val="0"/>
      <w:textAlignment w:val="baseline"/>
    </w:pPr>
    <w:rPr>
      <w:rFonts w:ascii="宋体" w:hAnsi="宋体"/>
      <w:kern w:val="0"/>
    </w:rPr>
  </w:style>
  <w:style w:type="paragraph" w:customStyle="1" w:styleId="52">
    <w:name w:val="样式 宋体 五号 行距: 单倍行距"/>
    <w:basedOn w:val="1"/>
    <w:qFormat/>
    <w:uiPriority w:val="0"/>
    <w:pPr>
      <w:adjustRightInd w:val="0"/>
      <w:jc w:val="left"/>
      <w:textAlignment w:val="baseline"/>
    </w:pPr>
    <w:rPr>
      <w:rFonts w:ascii="宋体" w:hAnsi="宋体"/>
      <w:kern w:val="0"/>
    </w:rPr>
  </w:style>
  <w:style w:type="paragraph" w:customStyle="1" w:styleId="53">
    <w:name w:val="样式 标题 2 + 宋体 五号 行距: 单倍行距"/>
    <w:basedOn w:val="5"/>
    <w:qFormat/>
    <w:uiPriority w:val="0"/>
    <w:pPr>
      <w:spacing w:line="240" w:lineRule="auto"/>
    </w:pPr>
    <w:rPr>
      <w:rFonts w:ascii="宋体" w:hAnsi="宋体" w:eastAsia="宋体"/>
      <w:sz w:val="21"/>
    </w:rPr>
  </w:style>
  <w:style w:type="paragraph" w:customStyle="1" w:styleId="54">
    <w:name w:val="Char Char Char Char Char"/>
    <w:basedOn w:val="1"/>
    <w:qFormat/>
    <w:uiPriority w:val="0"/>
    <w:rPr>
      <w:rFonts w:ascii="Tahoma" w:hAnsi="Tahoma"/>
      <w:sz w:val="24"/>
    </w:rPr>
  </w:style>
  <w:style w:type="paragraph" w:customStyle="1" w:styleId="55">
    <w:name w:val="Char"/>
    <w:basedOn w:val="1"/>
    <w:qFormat/>
    <w:uiPriority w:val="0"/>
    <w:rPr>
      <w:rFonts w:ascii="Tahoma" w:hAnsi="Tahoma"/>
      <w:sz w:val="24"/>
    </w:rPr>
  </w:style>
  <w:style w:type="character" w:customStyle="1" w:styleId="56">
    <w:name w:val="正文文本缩进 3 Char"/>
    <w:basedOn w:val="34"/>
    <w:link w:val="25"/>
    <w:qFormat/>
    <w:uiPriority w:val="0"/>
    <w:rPr>
      <w:rFonts w:ascii="仿宋_GB2312" w:hAnsi="Arial" w:eastAsia="仿宋_GB2312" w:cs="Times New Roman"/>
      <w:sz w:val="28"/>
      <w:szCs w:val="24"/>
    </w:rPr>
  </w:style>
  <w:style w:type="paragraph" w:customStyle="1" w:styleId="57">
    <w:name w:val="Char1"/>
    <w:basedOn w:val="1"/>
    <w:qFormat/>
    <w:uiPriority w:val="0"/>
    <w:rPr>
      <w:rFonts w:ascii="Tahoma" w:hAnsi="Tahoma" w:eastAsia="仿宋_GB2312"/>
      <w:sz w:val="24"/>
    </w:rPr>
  </w:style>
  <w:style w:type="paragraph" w:customStyle="1" w:styleId="58">
    <w:name w:val="Char Char Char Char Char Char Char1 Char"/>
    <w:basedOn w:val="1"/>
    <w:qFormat/>
    <w:uiPriority w:val="0"/>
    <w:rPr>
      <w:rFonts w:ascii="Tahoma" w:hAnsi="Tahoma"/>
      <w:sz w:val="24"/>
    </w:rPr>
  </w:style>
  <w:style w:type="character" w:customStyle="1" w:styleId="59">
    <w:name w:val="正文文本 Char"/>
    <w:basedOn w:val="34"/>
    <w:link w:val="3"/>
    <w:qFormat/>
    <w:uiPriority w:val="0"/>
    <w:rPr>
      <w:rFonts w:ascii="Times New Roman" w:hAnsi="Times New Roman" w:eastAsia="宋体" w:cs="Times New Roman"/>
      <w:szCs w:val="24"/>
    </w:rPr>
  </w:style>
  <w:style w:type="paragraph" w:customStyle="1" w:styleId="60">
    <w:name w:val="Char Char Char Char"/>
    <w:basedOn w:val="1"/>
    <w:next w:val="1"/>
    <w:qFormat/>
    <w:uiPriority w:val="0"/>
    <w:pPr>
      <w:widowControl/>
      <w:spacing w:line="360" w:lineRule="auto"/>
      <w:jc w:val="left"/>
    </w:pPr>
  </w:style>
  <w:style w:type="character" w:customStyle="1" w:styleId="61">
    <w:name w:val="批注框文本 Char"/>
    <w:basedOn w:val="34"/>
    <w:link w:val="19"/>
    <w:qFormat/>
    <w:uiPriority w:val="0"/>
    <w:rPr>
      <w:rFonts w:ascii="Times New Roman" w:hAnsi="Times New Roman" w:eastAsia="宋体" w:cs="Times New Roman"/>
      <w:sz w:val="18"/>
      <w:szCs w:val="18"/>
    </w:rPr>
  </w:style>
  <w:style w:type="paragraph" w:customStyle="1" w:styleId="62">
    <w:name w:val="Char Char Char"/>
    <w:basedOn w:val="1"/>
    <w:qFormat/>
    <w:uiPriority w:val="0"/>
    <w:rPr>
      <w:rFonts w:ascii="Tahoma" w:hAnsi="Tahoma"/>
      <w:sz w:val="24"/>
    </w:rPr>
  </w:style>
  <w:style w:type="paragraph" w:customStyle="1" w:styleId="63">
    <w:name w:val="Char Char Char Char Char Char Char Char Char Char"/>
    <w:basedOn w:val="1"/>
    <w:qFormat/>
    <w:uiPriority w:val="0"/>
    <w:rPr>
      <w:rFonts w:ascii="Tahoma" w:hAnsi="Tahoma" w:cs="仿宋_GB2312"/>
      <w:sz w:val="24"/>
    </w:rPr>
  </w:style>
  <w:style w:type="character" w:customStyle="1" w:styleId="64">
    <w:name w:val="批注文字 Char"/>
    <w:basedOn w:val="34"/>
    <w:link w:val="10"/>
    <w:semiHidden/>
    <w:qFormat/>
    <w:uiPriority w:val="99"/>
    <w:rPr>
      <w:rFonts w:ascii="Times New Roman" w:hAnsi="Times New Roman" w:eastAsia="宋体" w:cs="Times New Roman"/>
      <w:szCs w:val="20"/>
    </w:rPr>
  </w:style>
  <w:style w:type="character" w:customStyle="1" w:styleId="65">
    <w:name w:val="批注主题 Char"/>
    <w:basedOn w:val="64"/>
    <w:link w:val="31"/>
    <w:semiHidden/>
    <w:qFormat/>
    <w:uiPriority w:val="99"/>
    <w:rPr>
      <w:rFonts w:ascii="Times New Roman" w:hAnsi="Times New Roman" w:eastAsia="宋体" w:cs="Times New Roman"/>
      <w:b/>
      <w:bCs/>
      <w:szCs w:val="20"/>
    </w:rPr>
  </w:style>
  <w:style w:type="paragraph" w:customStyle="1" w:styleId="66">
    <w:name w:val="Char Char Char Char Char Char"/>
    <w:basedOn w:val="1"/>
    <w:qFormat/>
    <w:uiPriority w:val="0"/>
  </w:style>
  <w:style w:type="character" w:customStyle="1" w:styleId="67">
    <w:name w:val="纯文本 Char"/>
    <w:link w:val="15"/>
    <w:qFormat/>
    <w:uiPriority w:val="0"/>
    <w:rPr>
      <w:rFonts w:ascii="宋体" w:hAnsi="Courier New" w:eastAsia="宋体"/>
    </w:rPr>
  </w:style>
  <w:style w:type="character" w:customStyle="1" w:styleId="68">
    <w:name w:val="纯文本 Char1"/>
    <w:basedOn w:val="34"/>
    <w:semiHidden/>
    <w:qFormat/>
    <w:uiPriority w:val="99"/>
    <w:rPr>
      <w:rFonts w:ascii="宋体" w:hAnsi="Courier New" w:eastAsia="宋体" w:cs="Courier New"/>
      <w:szCs w:val="21"/>
    </w:rPr>
  </w:style>
  <w:style w:type="paragraph" w:customStyle="1" w:styleId="69">
    <w:name w:val="Char12 Char Char Char"/>
    <w:basedOn w:val="1"/>
    <w:qFormat/>
    <w:uiPriority w:val="0"/>
  </w:style>
  <w:style w:type="character" w:customStyle="1" w:styleId="70">
    <w:name w:val="文档结构图 Char"/>
    <w:basedOn w:val="34"/>
    <w:link w:val="9"/>
    <w:qFormat/>
    <w:uiPriority w:val="0"/>
    <w:rPr>
      <w:rFonts w:ascii="Times New Roman" w:hAnsi="Times New Roman" w:eastAsia="宋体" w:cs="Times New Roman"/>
      <w:szCs w:val="20"/>
      <w:shd w:val="clear" w:color="auto" w:fill="000080"/>
    </w:rPr>
  </w:style>
  <w:style w:type="character" w:customStyle="1" w:styleId="71">
    <w:name w:val="style29"/>
    <w:qFormat/>
    <w:uiPriority w:val="0"/>
  </w:style>
  <w:style w:type="character" w:customStyle="1" w:styleId="72">
    <w:name w:val="正文1"/>
    <w:qFormat/>
    <w:uiPriority w:val="0"/>
  </w:style>
  <w:style w:type="character" w:customStyle="1" w:styleId="73">
    <w:name w:val="font11"/>
    <w:qFormat/>
    <w:uiPriority w:val="0"/>
    <w:rPr>
      <w:rFonts w:hint="default" w:ascii="Times New Roman" w:hAnsi="Times New Roman" w:cs="Times New Roman"/>
      <w:color w:val="3366FF"/>
      <w:sz w:val="24"/>
      <w:szCs w:val="24"/>
      <w:u w:val="none"/>
    </w:rPr>
  </w:style>
  <w:style w:type="character" w:customStyle="1" w:styleId="74">
    <w:name w:val="font21"/>
    <w:qFormat/>
    <w:uiPriority w:val="0"/>
    <w:rPr>
      <w:rFonts w:hint="eastAsia" w:ascii="宋体" w:hAnsi="宋体" w:eastAsia="宋体"/>
      <w:color w:val="3366FF"/>
      <w:sz w:val="24"/>
      <w:szCs w:val="24"/>
      <w:u w:val="none"/>
    </w:rPr>
  </w:style>
  <w:style w:type="paragraph" w:customStyle="1" w:styleId="75">
    <w:name w:val="Char Char15"/>
    <w:basedOn w:val="1"/>
    <w:qFormat/>
    <w:uiPriority w:val="0"/>
    <w:rPr>
      <w:rFonts w:ascii="Tahoma" w:hAnsi="Tahoma" w:eastAsia="仿宋_GB2312"/>
      <w:sz w:val="24"/>
    </w:rPr>
  </w:style>
  <w:style w:type="paragraph" w:customStyle="1" w:styleId="76">
    <w:name w:val="Char2"/>
    <w:basedOn w:val="1"/>
    <w:qFormat/>
    <w:uiPriority w:val="0"/>
    <w:pPr>
      <w:tabs>
        <w:tab w:val="left" w:pos="360"/>
      </w:tabs>
    </w:pPr>
    <w:rPr>
      <w:sz w:val="24"/>
      <w:szCs w:val="24"/>
    </w:rPr>
  </w:style>
  <w:style w:type="paragraph" w:customStyle="1" w:styleId="77">
    <w:name w:val="Char16"/>
    <w:basedOn w:val="1"/>
    <w:qFormat/>
    <w:uiPriority w:val="0"/>
    <w:rPr>
      <w:rFonts w:ascii="Tahoma" w:hAnsi="Tahoma" w:eastAsia="仿宋_GB2312"/>
      <w:sz w:val="24"/>
    </w:rPr>
  </w:style>
  <w:style w:type="paragraph" w:customStyle="1" w:styleId="78">
    <w:name w:val="Char Char1"/>
    <w:basedOn w:val="1"/>
    <w:qFormat/>
    <w:uiPriority w:val="0"/>
    <w:rPr>
      <w:rFonts w:ascii="Tahoma" w:hAnsi="Tahoma"/>
      <w:sz w:val="24"/>
    </w:rPr>
  </w:style>
  <w:style w:type="paragraph" w:customStyle="1" w:styleId="79">
    <w:name w:val="Char Char Char Char Char Char Char"/>
    <w:basedOn w:val="1"/>
    <w:qFormat/>
    <w:uiPriority w:val="0"/>
    <w:rPr>
      <w:szCs w:val="24"/>
    </w:rPr>
  </w:style>
  <w:style w:type="paragraph" w:customStyle="1" w:styleId="80">
    <w:name w:val="Char Char"/>
    <w:basedOn w:val="1"/>
    <w:qFormat/>
    <w:uiPriority w:val="0"/>
    <w:rPr>
      <w:rFonts w:ascii="Tahoma" w:hAnsi="Tahoma" w:cs="仿宋_GB2312"/>
      <w:sz w:val="24"/>
    </w:rPr>
  </w:style>
  <w:style w:type="paragraph" w:customStyle="1" w:styleId="81">
    <w:name w:val="Char Char2"/>
    <w:basedOn w:val="1"/>
    <w:qFormat/>
    <w:uiPriority w:val="0"/>
    <w:rPr>
      <w:rFonts w:ascii="Tahoma" w:hAnsi="Tahoma" w:cs="仿宋_GB2312"/>
      <w:sz w:val="24"/>
    </w:rPr>
  </w:style>
  <w:style w:type="paragraph" w:customStyle="1" w:styleId="82">
    <w:name w:val="Char Char Char1"/>
    <w:basedOn w:val="1"/>
    <w:qFormat/>
    <w:uiPriority w:val="0"/>
    <w:rPr>
      <w:rFonts w:ascii="Tahoma" w:hAnsi="Tahoma"/>
      <w:sz w:val="24"/>
    </w:rPr>
  </w:style>
  <w:style w:type="paragraph" w:customStyle="1" w:styleId="83">
    <w:name w:val="D&amp;L"/>
    <w:basedOn w:val="21"/>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4">
    <w:name w:val="正文文本 3 Char"/>
    <w:basedOn w:val="34"/>
    <w:link w:val="11"/>
    <w:qFormat/>
    <w:uiPriority w:val="99"/>
    <w:rPr>
      <w:rFonts w:ascii="Calibri" w:hAnsi="Calibri" w:eastAsia="宋体" w:cs="Times New Roman"/>
      <w:sz w:val="16"/>
      <w:szCs w:val="16"/>
      <w:lang w:val="zh-CN" w:eastAsia="zh-CN"/>
    </w:rPr>
  </w:style>
  <w:style w:type="paragraph" w:customStyle="1" w:styleId="8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6">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7">
    <w:name w:val="style23"/>
    <w:qFormat/>
    <w:uiPriority w:val="0"/>
    <w:rPr>
      <w:rFonts w:ascii="Times New Roman" w:hAnsi="Times New Roman" w:eastAsia="宋体"/>
    </w:rPr>
  </w:style>
  <w:style w:type="paragraph" w:customStyle="1" w:styleId="88">
    <w:name w:val="p0"/>
    <w:basedOn w:val="1"/>
    <w:qFormat/>
    <w:uiPriority w:val="0"/>
    <w:pPr>
      <w:widowControl/>
      <w:jc w:val="left"/>
    </w:pPr>
    <w:rPr>
      <w:rFonts w:ascii="等线" w:hAnsi="等线" w:eastAsia="等线" w:cs="等线"/>
      <w:kern w:val="0"/>
      <w:sz w:val="20"/>
      <w:szCs w:val="22"/>
    </w:rPr>
  </w:style>
  <w:style w:type="paragraph" w:customStyle="1" w:styleId="8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10</TotalTime>
  <ScaleCrop>false</ScaleCrop>
  <LinksUpToDate>false</LinksUpToDate>
  <CharactersWithSpaces>14575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九月未央1393546643</cp:lastModifiedBy>
  <cp:lastPrinted>2020-11-06T02:50:00Z</cp:lastPrinted>
  <dcterms:modified xsi:type="dcterms:W3CDTF">2021-01-08T07:35:31Z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