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hint="eastAsia" w:ascii="Arial" w:eastAsia="宋体"/>
          <w:sz w:val="21"/>
          <w:lang w:val="en-US" w:eastAsia="zh-CN"/>
        </w:rPr>
      </w:pPr>
      <w:bookmarkStart w:id="0" w:name="_GoBack"/>
      <w:bookmarkEnd w:id="0"/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2.97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232.92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236.81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11130.44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8876.96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80.37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67.82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64.78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98.3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96.9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98.0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98.05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26.29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7.9（急诊）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12.1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1（急诊）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0.09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0.018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40.3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0.41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7.4%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pacing w:val="-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  <w:p>
            <w:pPr>
              <w:spacing w:before="115" w:line="219" w:lineRule="auto"/>
              <w:ind w:firstLine="500" w:firstLineChars="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88.6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59154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5387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96.65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7151.61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8257.85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5824.44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5522.83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6797.43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7612.8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4714.71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7156.99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6367.4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支气管肺炎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(J18.000)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2420.77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2702.11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(C34.900)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9193.65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8830.84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3309.63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急性左心功能衰竭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(I50.101)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4519.14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上消化道出血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(K92.208)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6373.57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6454.25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急性化脓性扁桃腺炎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(J03.901)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1968.4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2257.4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乳腺癌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(C50.801)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5737.25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4318.72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5270.09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3333.3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3511.86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3089.73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9734.17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9982.64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稳定性心绞痛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6311.54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5955.12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输尿管结石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(N20.100)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10828.96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9144.29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7398.17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8765.62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乳腺癌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(C50.801)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12682.78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12474.96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甲状腺良性包块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(D34.x00)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9484.15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7858.87</w:t>
            </w:r>
          </w:p>
        </w:tc>
      </w:tr>
    </w:tbl>
    <w:p>
      <w:pPr>
        <w:jc w:val="center"/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jc w:val="both"/>
      </w:pPr>
    </w:p>
    <w:p>
      <w:pPr>
        <w:spacing w:line="222" w:lineRule="exact"/>
        <w:jc w:val="center"/>
      </w:pPr>
    </w:p>
    <w:tbl>
      <w:tblPr>
        <w:tblStyle w:val="4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608"/>
        <w:gridCol w:w="2036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6144.85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4747.61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3306.16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4363.72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9734.17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9982.64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胃癌（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C16.900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晚期姑息化疗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9178.9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4147.06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乳腺癌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(C50.801)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13216.28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12474.96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礼貌接诊,文明待人,热情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Arial"/>
                <w:sz w:val="24"/>
                <w:szCs w:val="24"/>
              </w:rPr>
              <w:t>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尊重患者选择权、知情权和监督权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门诊医生按时出诊,简化就医程序,为患者提供方便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 xml:space="preserve">医疗服务中做到合理检查、合理施治、合理用药。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禁止收取开药、仪器、化验、及其他医学检查等开单提成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>
      <w:pPr>
        <w:sectPr>
          <w:footerReference r:id="rId9" w:type="default"/>
          <w:pgSz w:w="11900" w:h="16840"/>
          <w:pgMar w:top="1431" w:right="1735" w:bottom="1282" w:left="1680" w:header="0" w:footer="1029" w:gutter="0"/>
          <w:cols w:space="720" w:num="1"/>
        </w:sectPr>
      </w:pPr>
    </w:p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1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3"/>
        <w:w w:val="71"/>
        <w:position w:val="-5"/>
        <w:sz w:val="36"/>
        <w:szCs w:val="36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—</w:t>
    </w:r>
    <w:r>
      <w:rPr>
        <w:rFonts w:ascii="宋体" w:hAnsi="宋体" w:eastAsia="宋体" w:cs="宋体"/>
        <w:spacing w:val="7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10</w:t>
    </w:r>
    <w:r>
      <w:rPr>
        <w:rFonts w:ascii="宋体" w:hAnsi="宋体" w:eastAsia="宋体" w:cs="宋体"/>
        <w:spacing w:val="4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17E22D9B"/>
    <w:rsid w:val="036A2172"/>
    <w:rsid w:val="04F83DB2"/>
    <w:rsid w:val="0B212DFC"/>
    <w:rsid w:val="0E0273BE"/>
    <w:rsid w:val="12D82BD4"/>
    <w:rsid w:val="13143B13"/>
    <w:rsid w:val="17E22D9B"/>
    <w:rsid w:val="1D764C0A"/>
    <w:rsid w:val="24F10325"/>
    <w:rsid w:val="29730E2F"/>
    <w:rsid w:val="2C697D08"/>
    <w:rsid w:val="2C8F5F80"/>
    <w:rsid w:val="2E9B6256"/>
    <w:rsid w:val="2FD47B8E"/>
    <w:rsid w:val="332E0B49"/>
    <w:rsid w:val="33AE45B0"/>
    <w:rsid w:val="34523167"/>
    <w:rsid w:val="377B1B95"/>
    <w:rsid w:val="3929719C"/>
    <w:rsid w:val="481C5A9B"/>
    <w:rsid w:val="4B3C08BF"/>
    <w:rsid w:val="4CEF3B10"/>
    <w:rsid w:val="4D0C050F"/>
    <w:rsid w:val="50B25872"/>
    <w:rsid w:val="56C360E3"/>
    <w:rsid w:val="5BEA5291"/>
    <w:rsid w:val="5C963944"/>
    <w:rsid w:val="5DFB7C8C"/>
    <w:rsid w:val="6A1A790B"/>
    <w:rsid w:val="6A9F256B"/>
    <w:rsid w:val="6D4D3720"/>
    <w:rsid w:val="715E67B8"/>
    <w:rsid w:val="73452ABA"/>
    <w:rsid w:val="760F67F7"/>
    <w:rsid w:val="787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1910</Words>
  <Characters>2764</Characters>
  <Lines>0</Lines>
  <Paragraphs>0</Paragraphs>
  <TotalTime>60</TotalTime>
  <ScaleCrop>false</ScaleCrop>
  <LinksUpToDate>false</LinksUpToDate>
  <CharactersWithSpaces>2972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2022-05-24T07:39:00Z</dcterms:created>
  <dc:creator>鹿麟</dc:creator>
  <cp:lastModifiedBy>鹿麟</cp:lastModifiedBy>
  <cp:lastPrinted>2022-07-14T01:42:11Z</cp:lastPrinted>
  <dcterms:modified xsi:type="dcterms:W3CDTF">2022-07-15T02:41:47Z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78CA489C80B14475A5E372808E9573F1</vt:lpwstr>
  </property>
</Properties>
</file>