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0" w:line="219" w:lineRule="auto"/>
        <w:ind w:firstLine="15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</w:rPr>
        <w:t>附件1</w:t>
      </w:r>
    </w:p>
    <w:p>
      <w:pPr>
        <w:spacing w:line="306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14" w:line="219" w:lineRule="auto"/>
        <w:ind w:firstLine="18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安徽省医疗服务信息社会公开内容</w:t>
      </w:r>
    </w:p>
    <w:p/>
    <w:p/>
    <w:p/>
    <w:p>
      <w:pPr>
        <w:spacing w:line="18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  <w:p>
            <w:pPr>
              <w:spacing w:before="82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2.77:1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2.83:1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81" w:line="220" w:lineRule="auto"/>
              <w:ind w:firstLine="114"/>
              <w:rPr>
                <w:rFonts w:ascii="宋体" w:hAnsi="宋体" w:eastAsia="宋体" w:cs="宋体"/>
                <w:spacing w:val="5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医疗费用</w:t>
            </w:r>
          </w:p>
          <w:p>
            <w:pPr>
              <w:numPr>
                <w:ilvl w:val="0"/>
                <w:numId w:val="0"/>
              </w:numPr>
              <w:spacing w:before="81" w:line="220" w:lineRule="auto"/>
              <w:rPr>
                <w:rFonts w:hint="eastAsia" w:ascii="宋体" w:hAnsi="宋体" w:eastAsia="宋体" w:cs="宋体"/>
                <w:spacing w:val="5"/>
                <w:sz w:val="25"/>
                <w:szCs w:val="25"/>
                <w:lang w:eastAsia="zh-CN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/>
                <w:sz w:val="21"/>
              </w:rPr>
            </w:pPr>
            <w:r>
              <w:rPr>
                <w:rFonts w:hint="eastAsia" w:ascii="Arial"/>
                <w:sz w:val="21"/>
              </w:rPr>
              <w:t>364.36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353.68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/>
                <w:sz w:val="21"/>
              </w:rPr>
            </w:pPr>
            <w:r>
              <w:rPr>
                <w:rFonts w:hint="eastAsia" w:ascii="Arial"/>
                <w:sz w:val="21"/>
              </w:rPr>
              <w:t>9761.11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9327.67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8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2.3医疗机构住院患者单病种平均费用(见附件2)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pacing w:val="-1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  <w:p>
            <w:pPr>
              <w:spacing w:before="82" w:line="219" w:lineRule="auto"/>
              <w:ind w:firstLine="622" w:firstLineChars="251"/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83.19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83.41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67.51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98.4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96.1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93.78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31.74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17.55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19.94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25.2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27.21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0.59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0.14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22.77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9.46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11"/>
              <w:rPr>
                <w:rFonts w:ascii="宋体" w:hAnsi="宋体" w:eastAsia="宋体" w:cs="宋体"/>
                <w:spacing w:val="-2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  <w:p>
            <w:pPr>
              <w:spacing w:before="115" w:line="219" w:lineRule="auto"/>
              <w:ind w:firstLine="500" w:firstLineChars="200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二级手术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1.72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三级手术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四级手术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3.34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124.8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119.6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12.1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4.6门诊人次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107074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108619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10738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10773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96.75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5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医疗机构服务承诺内容(见附件3'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324" w:bottom="1268" w:left="1415" w:header="0" w:footer="106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7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2"/>
          <w:sz w:val="36"/>
          <w:szCs w:val="36"/>
        </w:rPr>
        <w:t>附件2</w:t>
      </w: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4"/>
        <w:tblW w:w="807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00"/>
        <w:gridCol w:w="1965"/>
        <w:gridCol w:w="160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7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2530.69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2357.91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脑梗死（急性期）  (I63.900）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7151.48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7337.99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I型/Ⅱ型糖尿病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E10.900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4491.96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4461.03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慢性心力衰竭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(I50.908)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7162.23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6187.38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5811.08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慢性阻塞性肺疾病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(J44.900)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6981.82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7140.45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5037.82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4880.34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原发性高血压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(I10.x09)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3170.24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3386.9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稳定型心绞痛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(I20.801)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6066.8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6088.92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急性化脓性扁桃腺炎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(J03.901)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2032.48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2396.97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3897.66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3420.22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急性左心功能衰竭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(I50.101)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3968.31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4514.47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慢性鼻窦炎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(J32.900)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功能性内镜鼻窦手术治疗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9262.56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9605.31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热性惊厥（R56.803）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1977.71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1996.59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(C34.900)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7914.2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7223.8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胃癌（C16.900）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3744.28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4078.29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乳腺癌（C50.801）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3962.5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3905.76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上消化道出血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(K92.208)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6312.95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6245.7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输尿管结石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(N20.100)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10609.81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10358.7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腰椎间盘突出症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M51.202）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腰椎间盘髓核摘除术（经椎间盘镜）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17500.08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19139.19</w:t>
            </w:r>
          </w:p>
        </w:tc>
      </w:tr>
    </w:tbl>
    <w:p>
      <w:pPr>
        <w:jc w:val="center"/>
        <w:sectPr>
          <w:footerReference r:id="rId7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>
      <w:pPr>
        <w:jc w:val="both"/>
      </w:pPr>
    </w:p>
    <w:p>
      <w:pPr>
        <w:spacing w:line="222" w:lineRule="exact"/>
        <w:jc w:val="center"/>
      </w:pPr>
    </w:p>
    <w:tbl>
      <w:tblPr>
        <w:tblStyle w:val="4"/>
        <w:tblW w:w="83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40"/>
        <w:gridCol w:w="1904"/>
        <w:gridCol w:w="1919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24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1" w:lineRule="auto"/>
              <w:ind w:left="260" w:right="222" w:firstLine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6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5659.76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5751.28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3576.98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3421.07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乳腺癌（C50.801）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4479.17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3567.23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胃癌（C16.900）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3742.9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3547.58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甲状腺癌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D44.001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甲状腺癌根治术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10788.09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11366.2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455" w:bottom="1278" w:left="1695" w:header="0" w:footer="1070" w:gutter="0"/>
          <w:cols w:space="720" w:num="1"/>
        </w:sectPr>
      </w:pPr>
    </w:p>
    <w:p>
      <w:pPr>
        <w:spacing w:before="351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附件3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医疗机构服务承诺内容</w:t>
      </w:r>
    </w:p>
    <w:p/>
    <w:p>
      <w:pPr>
        <w:spacing w:line="19" w:lineRule="exact"/>
      </w:pPr>
    </w:p>
    <w:tbl>
      <w:tblPr>
        <w:tblStyle w:val="4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礼貌接诊,文明待人,态度和蔼不推诿、训斥、刁难病人。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>尊重患者选择权、知情权和监督权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坚持首诊负责制,对急、难、危、重患者优先就诊,交费、检查、取药,需住院或转院者给予积极协助。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门诊医生按时出诊,简化就医程序,为患者提供方便。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严格执行国家规定收费标准。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医疗服务中做到合理检查、合理施治、合理用药。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3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 xml:space="preserve">禁止收取开药、仪器、化验、及其他医学检查等开单提成 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不准通过介绍患者到其他单位检查、治疗或购买药品、医疗 器械等收取回扣或提成。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谢绝患者及其家属馈赠的现金、物品、宴请,如难以谢绝的, 必须及时向监察室汇报。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firstLine="81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拒收医疗设备、器械、耗材、药品、试剂等生产、销售人 员以各种形式给子的回扣,不以职务便利获取不正当利益。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40"/>
          <w:pgMar w:top="1431" w:right="1735" w:bottom="1282" w:left="1680" w:header="0" w:footer="1029" w:gutter="0"/>
          <w:cols w:space="720" w:num="1"/>
        </w:sectPr>
      </w:pPr>
    </w:p>
    <w:p>
      <w:pPr>
        <w:spacing w:before="285" w:line="219" w:lineRule="auto"/>
        <w:ind w:firstLine="1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11" w:line="219" w:lineRule="auto"/>
        <w:ind w:firstLine="14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安徽省医疗服务信息社会公开指标说明</w:t>
      </w:r>
    </w:p>
    <w:p>
      <w:pPr>
        <w:spacing w:line="184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98"/>
        <w:gridCol w:w="1168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信息分类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0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指标项目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指标定义、计算公式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1.基本情况</w:t>
            </w: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92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1.1重点(特</w:t>
            </w:r>
          </w:p>
          <w:p>
            <w:pPr>
              <w:spacing w:line="218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色)专科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0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国家级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8" w:line="289" w:lineRule="auto"/>
              <w:ind w:left="106" w:righ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列举经各级卫生健康行政部门评定的重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点专科名称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省级</w:t>
            </w:r>
          </w:p>
        </w:tc>
        <w:tc>
          <w:tcPr>
            <w:tcW w:w="43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市级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院级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列举医疗机构自行评定的特色专科名称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1.2"江淮名医"人数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6" w:lineRule="auto"/>
              <w:ind w:left="106" w:righ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医疗机构荣获安徽省"江淮名医"荣誉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1.3床医比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=实际开放床位数/注册医师总数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1.4床护比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=实际开放床位数/注册护士总数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2.医疗费用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0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2.1门诊患者人均医疗费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=门诊收入/门诊诊疗人次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8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2.2住院患者人均医疗费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=住院收入/出院人次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09" w:lineRule="auto"/>
              <w:ind w:left="122" w:righ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2.3医疗机构住院患者单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病种平均费用(见附件2)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56" w:lineRule="auto"/>
              <w:ind w:left="106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分别计算医疗机构住院患者前20位单病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种的平均费用和医疗机构特色专科住院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5" w:line="214" w:lineRule="auto"/>
              <w:ind w:left="112" w:right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2.4基本医保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实际报销比例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城镇职工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8" w:line="287" w:lineRule="auto"/>
              <w:ind w:left="106" w:righ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分别计算两类医保住院患者平均实际报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销比例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城乡居民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3.医疗质量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3.1治愈好转率(%)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=治愈好转人次/出院人次*100%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4" w:lineRule="auto"/>
              <w:ind w:left="122" w:righ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3.2手术前后诊断符合率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=手术前后诊断符合数/出院人次*100%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3.3急诊抢救成功率(%)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41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=急诊抢救成功次数/急诊抢救次数</w:t>
            </w:r>
          </w:p>
          <w:p>
            <w:pPr>
              <w:spacing w:line="195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8" w:lineRule="auto"/>
              <w:ind w:left="122" w:right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3.4抗菌药物使用强度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(DDDs)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306" w:lineRule="auto"/>
              <w:ind w:left="106" w:righ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=住院患者抗菌药物消耗量(累计DDD数)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*100/同期收治患者人天数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3.5门诊输液率(%)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=门诊输液人次数/门诊诊疗人次*100%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9" w:lineRule="auto"/>
              <w:ind w:left="122" w:righ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3.6无菌手术切口感染率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46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=无菌手术切口感染数/无菌手术人次</w:t>
            </w:r>
          </w:p>
          <w:p>
            <w:pPr>
              <w:spacing w:line="179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40"/>
          <w:pgMar w:top="1431" w:right="1425" w:bottom="1267" w:left="1524" w:header="0" w:footer="1120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58"/>
        <w:gridCol w:w="1179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7" w:lineRule="auto"/>
              <w:ind w:left="122" w:righ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3.7住院患者压疮发生率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41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=发生压疮的患者人次/出院患者人次</w:t>
            </w:r>
          </w:p>
          <w:p>
            <w:pPr>
              <w:spacing w:line="169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38" w:lineRule="auto"/>
              <w:ind w:left="122" w:righ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12"/>
                <w:sz w:val="24"/>
                <w:szCs w:val="24"/>
              </w:rPr>
              <w:t>3.8出院患者手术占比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15" w:righ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=出院患者手术台次数/同期出院患者总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46" w:lineRule="auto"/>
              <w:ind w:left="122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3.9手术患者并发症发生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%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4" w:lineRule="auto"/>
              <w:ind w:left="115" w:righ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=手术患者并发症发生例数/同期出院的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手术患者人数*100%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4.运行效率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122" w:right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4.1门诊患者平均预约诊 </w:t>
            </w:r>
            <w:r>
              <w:rPr>
                <w:rFonts w:ascii="宋体" w:hAnsi="宋体" w:eastAsia="宋体" w:cs="宋体"/>
                <w:spacing w:val="13"/>
                <w:w w:val="108"/>
                <w:sz w:val="24"/>
                <w:szCs w:val="24"/>
              </w:rPr>
              <w:t>疗率(%)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=预约诊疗人次数/总诊疗人次数*100%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82" w:lineRule="auto"/>
              <w:ind w:left="122" w:right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4.2门诊患者预约后平均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等待时间(分钟)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56" w:lineRule="auto"/>
              <w:ind w:left="115" w:righ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逻{进入诊室诊疗的时钟时间-到达分诊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台或通过信息系统(自助机、APP</w:t>
            </w: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等)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报到的时钟时间}/预约诊疗人次数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305" w:lineRule="auto"/>
              <w:ind w:left="122" w:righ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4.3术前待床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日(天)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二级手术</w:t>
            </w:r>
          </w:p>
        </w:tc>
        <w:tc>
          <w:tcPr>
            <w:tcW w:w="4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78" w:lineRule="auto"/>
              <w:ind w:left="115" w:righ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分别计算各级手术患者从入院时点至手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术时点的平均等候时间,以天为单位计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三级手术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四级手术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4.4病床使用率(%)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45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4"/>
                <w:szCs w:val="24"/>
              </w:rPr>
              <w:t>=实际占用总床日数/实际开放总床日数</w:t>
            </w:r>
          </w:p>
          <w:p>
            <w:pPr>
              <w:spacing w:before="1" w:line="157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122" w:right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4.5出院者平均住院日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=出院者占用总床日数/出院人次数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4.6门诊人次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本季度门诊患者人次数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4.7出院人次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本季度出院患者人次数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8"/>
              <w:ind w:left="115" w:righ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5.患者满意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度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总体满意度(%)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58" w:lineRule="auto"/>
              <w:ind w:left="115" w:righ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以第三方机构调查报告数据为准。三级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医疗机构和省属医疗机构应用省卫生健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康委满意度评价。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6.服务承诺</w:t>
            </w:r>
          </w:p>
        </w:tc>
        <w:tc>
          <w:tcPr>
            <w:tcW w:w="7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医疗机构主动向社会承诺的服务内容(含我省医疗机构统一和自选)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40"/>
          <w:pgMar w:top="1431" w:right="1435" w:bottom="1281" w:left="1534" w:header="0" w:footer="107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"/>
        <w:position w:val="-5"/>
        <w:sz w:val="36"/>
        <w:szCs w:val="36"/>
      </w:rPr>
      <w:t>─6─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8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─7─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1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3"/>
        <w:w w:val="71"/>
        <w:position w:val="-5"/>
        <w:sz w:val="36"/>
        <w:szCs w:val="36"/>
      </w:rPr>
      <w:t>──8──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7" w:lineRule="exact"/>
      <w:ind w:firstLine="79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position w:val="-3"/>
        <w:sz w:val="21"/>
        <w:szCs w:val="21"/>
      </w:rPr>
      <w:t>──9──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exact"/>
      <w:ind w:firstLine="1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position w:val="-4"/>
        <w:sz w:val="30"/>
        <w:szCs w:val="30"/>
      </w:rPr>
      <w:t>—</w:t>
    </w:r>
    <w:r>
      <w:rPr>
        <w:rFonts w:ascii="宋体" w:hAnsi="宋体" w:eastAsia="宋体" w:cs="宋体"/>
        <w:spacing w:val="74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10</w:t>
    </w:r>
    <w:r>
      <w:rPr>
        <w:rFonts w:ascii="宋体" w:hAnsi="宋体" w:eastAsia="宋体" w:cs="宋体"/>
        <w:spacing w:val="49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AEF79"/>
    <w:multiLevelType w:val="singleLevel"/>
    <w:tmpl w:val="094AEF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QzNjlmNDkzMGNlZDlmMjM3M2EwOTYzMTVlNDMifQ=="/>
  </w:docVars>
  <w:rsids>
    <w:rsidRoot w:val="223B2966"/>
    <w:rsid w:val="02DE5ECF"/>
    <w:rsid w:val="0E0273BE"/>
    <w:rsid w:val="223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2223</Words>
  <Characters>3090</Characters>
  <Lines>0</Lines>
  <Paragraphs>0</Paragraphs>
  <TotalTime>11</TotalTime>
  <ScaleCrop>false</ScaleCrop>
  <LinksUpToDate>false</LinksUpToDate>
  <CharactersWithSpaces>3303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2023-07-18T07:43:00Z</dcterms:created>
  <dc:creator>鹿麟</dc:creator>
  <cp:lastModifiedBy>鹿麟</cp:lastModifiedBy>
  <dcterms:modified xsi:type="dcterms:W3CDTF">2023-07-18T08:29:15Z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9CB134F6C3384686B1754871FFD2282F_13</vt:lpwstr>
  </property>
</Properties>
</file>