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lang w:val="en-US" w:eastAsia="zh-CN"/>
          <w14:textFill>
            <w14:solidFill>
              <w14:schemeClr w14:val="tx1"/>
            </w14:solidFill>
          </w14:textFill>
        </w:rPr>
      </w:pPr>
      <w:r>
        <w:rPr>
          <w:rFonts w:hint="eastAsia" w:ascii="宋体" w:hAnsi="宋体"/>
          <w:b/>
          <w:bCs/>
          <w:color w:val="000000" w:themeColor="text1"/>
          <w:sz w:val="48"/>
          <w:szCs w:val="48"/>
          <w:lang w:val="en-US" w:eastAsia="zh-CN"/>
          <w14:textFill>
            <w14:solidFill>
              <w14:schemeClr w14:val="tx1"/>
            </w14:solidFill>
          </w14:textFill>
        </w:rPr>
        <w:t>植入式脊髓刺激电极项目</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5"/>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15</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9"/>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6"/>
        <w:ind w:firstLine="2923" w:firstLineChars="1040"/>
        <w:rPr>
          <w:color w:val="000000" w:themeColor="text1"/>
          <w:sz w:val="28"/>
          <w:szCs w:val="28"/>
          <w14:textFill>
            <w14:solidFill>
              <w14:schemeClr w14:val="tx1"/>
            </w14:solidFill>
          </w14:textFill>
        </w:rPr>
      </w:pPr>
      <w:bookmarkStart w:id="0" w:name="_Toc363199264"/>
      <w:bookmarkStart w:id="1" w:name="_Toc216158623"/>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bookmarkStart w:id="2" w:name="_Toc35393797"/>
      <w:bookmarkStart w:id="3" w:name="_Toc28359011"/>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皖西卫生职业学院附属医院植入式脊髓刺激电极项目</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皖西卫生职业学院附属医院植入式脊髓刺激电极项目</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26日9点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LARX-20240407</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皖西卫生职业学院附属医院植入式脊髓刺激电极项目</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预算金额：232500.00元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232500.00元，响应报价不得高于此限价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1年。</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（1）投标人应具有投标产品所对应的且有效的“医疗器械生产许可证”或“医疗器械生产备案凭证”或“医疗器械经营备案凭证” 或“医疗器械经营许可证”或国家法律法规规定的其他资格要求。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（2）投标产品若纳入中华人民共和国医疗器械注册管理的，投标人应提供所投标产品相应有效的注册证（含附页、附件）或备案证；进口产品须提供投标产品相应有效的进口注册证（含附页、附件）</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皖西卫生职业学院附属医院植入式脊髓刺激电极项目</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4月26日9点00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26日9点00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18</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6"/>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5"/>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8"/>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8"/>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皖西卫生职业学院附属医院植入式脊髓刺激电极项目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LARX-20240407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：按照实际使用数量乘以中标单价支付款项。</w:t>
            </w:r>
          </w:p>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8"/>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1年，</w:t>
            </w:r>
            <w:r>
              <w:rPr>
                <w:rFonts w:hint="default" w:eastAsia="宋体"/>
                <w:b w:val="0"/>
                <w:bCs w:val="0"/>
                <w:color w:val="000000" w:themeColor="text1"/>
                <w:sz w:val="24"/>
                <w:szCs w:val="24"/>
                <w:highlight w:val="none"/>
                <w:lang w:val="en-US" w:eastAsia="zh-CN"/>
                <w14:textFill>
                  <w14:solidFill>
                    <w14:schemeClr w14:val="tx1"/>
                  </w14:solidFill>
                </w14:textFill>
              </w:rPr>
              <w:t>接到医院通知后3个工作日完成供货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自验收合格之日起1年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eastAsia="zh-CN"/>
                <w14:textFill>
                  <w14:solidFill>
                    <w14:schemeClr w14:val="tx1"/>
                  </w14:solidFill>
                </w14:textFill>
              </w:rPr>
              <w:t>。</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6"/>
              <w:pBdr>
                <w:bottom w:val="none" w:color="auto" w:sz="0" w:space="0"/>
              </w:pBdr>
              <w:tabs>
                <w:tab w:val="clear" w:pos="4153"/>
                <w:tab w:val="clear" w:pos="8306"/>
              </w:tabs>
              <w:adjustRightInd/>
              <w:spacing w:line="460" w:lineRule="exact"/>
              <w:jc w:val="both"/>
              <w:rPr>
                <w:rFonts w:hint="eastAsia" w:eastAsia="宋体"/>
                <w:b/>
                <w:bCs/>
                <w:color w:val="000000" w:themeColor="text1"/>
                <w:szCs w:val="24"/>
                <w:lang w:val="en-US"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6"/>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6"/>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bookmarkStart w:id="49" w:name="_GoBack"/>
            <w:bookmarkEnd w:id="49"/>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6"/>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6"/>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6"/>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6"/>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9" w:name="_Toc11003"/>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363199266"/>
      <w:bookmarkStart w:id="11" w:name="_Toc20659"/>
      <w:bookmarkStart w:id="12" w:name="_Toc216158625"/>
      <w:bookmarkStart w:id="13" w:name="_Toc438648662"/>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102"/>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7"/>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hint="eastAsia"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bookmarkStart w:id="17" w:name="_Hlt509650747"/>
      <w:bookmarkEnd w:id="17"/>
      <w:r>
        <w:rPr>
          <w:rFonts w:hint="eastAsia" w:ascii="宋体" w:hAnsi="宋体" w:cs="宋体"/>
          <w:color w:val="000000" w:themeColor="text1"/>
          <w:sz w:val="24"/>
          <w:lang w:eastAsia="zh-CN"/>
          <w14:textFill>
            <w14:solidFill>
              <w14:schemeClr w14:val="tx1"/>
            </w14:solidFill>
          </w14:textFill>
        </w:rPr>
        <w:t>。</w:t>
      </w:r>
    </w:p>
    <w:p>
      <w:pPr>
        <w:pStyle w:val="17"/>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lang w:val="en-US" w:eastAsia="zh-CN"/>
          <w14:textFill>
            <w14:solidFill>
              <w14:schemeClr w14:val="tx1"/>
            </w14:solidFill>
          </w14:textFill>
        </w:rPr>
        <w:t>并现场递交至</w:t>
      </w:r>
      <w:r>
        <w:rPr>
          <w:rFonts w:hint="eastAsia" w:hAnsi="宋体" w:cs="宋体"/>
          <w:color w:val="000000" w:themeColor="text1"/>
          <w:sz w:val="24"/>
          <w14:textFill>
            <w14:solidFill>
              <w14:schemeClr w14:val="tx1"/>
            </w14:solidFill>
          </w14:textFill>
        </w:rPr>
        <w:t>谈判地点。</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color w:val="000000" w:themeColor="text1"/>
          <w:sz w:val="24"/>
          <w:szCs w:val="24"/>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6"/>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6"/>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bookmarkEnd w:id="26"/>
    <w:bookmarkEnd w:id="28"/>
    <w:tbl>
      <w:tblPr>
        <w:tblStyle w:val="3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913"/>
        <w:gridCol w:w="2736"/>
        <w:gridCol w:w="571"/>
        <w:gridCol w:w="1176"/>
        <w:gridCol w:w="627"/>
        <w:gridCol w:w="1297"/>
        <w:gridCol w:w="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植入式脊髓刺激电极</w:t>
            </w:r>
            <w:r>
              <w:rPr>
                <w:rFonts w:hint="eastAsia" w:ascii="宋体" w:hAnsi="宋体" w:eastAsia="宋体" w:cs="宋体"/>
                <w:i w:val="0"/>
                <w:iCs w:val="0"/>
                <w:color w:val="000000"/>
                <w:kern w:val="0"/>
                <w:sz w:val="28"/>
                <w:szCs w:val="28"/>
                <w:u w:val="none"/>
                <w:lang w:val="en-US" w:eastAsia="zh-CN" w:bidi="ar"/>
              </w:rPr>
              <w:t>招标需求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r>
              <w:rPr>
                <w:rFonts w:hint="eastAsia" w:ascii="宋体" w:hAnsi="宋体" w:cs="宋体"/>
                <w:i w:val="0"/>
                <w:iCs w:val="0"/>
                <w:color w:val="000000"/>
                <w:kern w:val="0"/>
                <w:sz w:val="24"/>
                <w:szCs w:val="24"/>
                <w:u w:val="none"/>
                <w:lang w:val="en-US" w:eastAsia="zh-CN" w:bidi="ar"/>
              </w:rPr>
              <w:t>（元）</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 量</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预采购金额</w:t>
            </w:r>
            <w:r>
              <w:rPr>
                <w:rFonts w:hint="eastAsia" w:ascii="宋体" w:hAnsi="宋体" w:cs="宋体"/>
                <w:i w:val="0"/>
                <w:iCs w:val="0"/>
                <w:color w:val="000000"/>
                <w:kern w:val="0"/>
                <w:sz w:val="24"/>
                <w:szCs w:val="24"/>
                <w:u w:val="none"/>
                <w:lang w:val="en-US" w:eastAsia="zh-CN" w:bidi="ar"/>
              </w:rPr>
              <w:t>（元）</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植入式脊髓刺激电极</w:t>
            </w:r>
          </w:p>
        </w:tc>
        <w:tc>
          <w:tcPr>
            <w:tcW w:w="1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4"/>
                <w:szCs w:val="24"/>
                <w:u w:val="none"/>
                <w:lang w:val="en-US" w:eastAsia="zh-CN"/>
              </w:rPr>
            </w:pPr>
            <w:r>
              <w:rPr>
                <w:rFonts w:hint="default" w:ascii="宋体" w:hAnsi="宋体" w:eastAsia="宋体" w:cs="宋体"/>
                <w:i w:val="0"/>
                <w:iCs w:val="0"/>
                <w:color w:val="000000"/>
                <w:sz w:val="24"/>
                <w:szCs w:val="24"/>
                <w:u w:val="none"/>
                <w:lang w:val="en-US" w:eastAsia="zh-CN"/>
              </w:rPr>
              <w:t>SCL302E-75</w:t>
            </w:r>
            <w:r>
              <w:rPr>
                <w:rFonts w:hint="eastAsia" w:ascii="宋体" w:hAnsi="宋体" w:cs="宋体"/>
                <w:i w:val="0"/>
                <w:iCs w:val="0"/>
                <w:color w:val="000000"/>
                <w:sz w:val="24"/>
                <w:szCs w:val="24"/>
                <w:u w:val="none"/>
                <w:lang w:val="en-US" w:eastAsia="zh-CN"/>
              </w:rPr>
              <w:t>/SCL302B-75</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套</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15500.00</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15</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232500.00</w:t>
            </w:r>
          </w:p>
        </w:tc>
        <w:tc>
          <w:tcPr>
            <w:tcW w:w="243"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1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kern w:val="0"/>
                <w:sz w:val="24"/>
                <w:szCs w:val="24"/>
                <w:u w:val="none"/>
                <w:lang w:val="en-US" w:eastAsia="zh-CN" w:bidi="ar"/>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232500.00</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shd w:val="clear"/>
        <w:rPr>
          <w:rFonts w:hint="eastAsia" w:ascii="宋体" w:hAnsi="宋体" w:eastAsia="宋体" w:cs="宋体"/>
          <w:b/>
          <w:bCs/>
          <w:color w:val="auto"/>
          <w:sz w:val="28"/>
          <w:szCs w:val="28"/>
        </w:rPr>
      </w:pPr>
    </w:p>
    <w:p>
      <w:pPr>
        <w:spacing w:line="340" w:lineRule="exact"/>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注：</w:t>
      </w:r>
      <w:r>
        <w:rPr>
          <w:rFonts w:hint="eastAsia" w:ascii="仿宋" w:hAnsi="仿宋" w:eastAsia="仿宋" w:cs="仿宋"/>
          <w:color w:val="000000"/>
          <w:sz w:val="28"/>
          <w:szCs w:val="28"/>
        </w:rPr>
        <w:t>1.投标报价单价高于单价限价的不接受投标。</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.本项目为带量采购，采购周期</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年。以合同签订之日起计算采购周期。</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采购周期内如遇国家省市相关部门政策调整，以调整后的政策为准。采购周期内一切产品如遇国家、省、市带量采购的，均执行国家、省、市带量采购，采购期自动终止。采购周期内一切产品如遇医院组织医用耗材带量采购，采购期自动终止。</w:t>
      </w:r>
    </w:p>
    <w:p>
      <w:pPr>
        <w:pStyle w:val="21"/>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.投标人须提供投标产品医疗器械注册证。</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.投标人需对所投产品填写其医疗保险可单独收费医用耗材目录编码（若未填写或无相应编码，医院将不采购此耗材）。</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6.供应商响应报价包含“植入式脊髓刺激电极”使用所需脊髓刺激患者程控充电器、脊髓刺激医生程控充电器、测试脊髓刺激延伸电缆等配套耗材。</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7.表格中体现的规格型号仅表达医院需求，不作为投标限制。</w:t>
      </w:r>
    </w:p>
    <w:p>
      <w:pPr>
        <w:pStyle w:val="21"/>
        <w:ind w:firstLine="1400" w:firstLineChars="5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br w:type="page"/>
      </w:r>
    </w:p>
    <w:p>
      <w:pPr>
        <w:pStyle w:val="5"/>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pStyle w:val="5"/>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1" w:name="_Toc5601"/>
      <w:r>
        <w:rPr>
          <w:rFonts w:hint="eastAsia" w:ascii="宋体" w:hAnsi="宋体" w:eastAsia="宋体" w:cs="宋体"/>
          <w:color w:val="000000" w:themeColor="text1"/>
          <w:sz w:val="24"/>
          <w:szCs w:val="24"/>
          <w14:textFill>
            <w14:solidFill>
              <w14:schemeClr w14:val="tx1"/>
            </w14:solidFill>
          </w14:textFill>
        </w:rPr>
        <w:t>报价单</w:t>
      </w:r>
      <w:bookmarkEnd w:id="31"/>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796"/>
        <w:gridCol w:w="1168"/>
        <w:gridCol w:w="1241"/>
        <w:gridCol w:w="790"/>
        <w:gridCol w:w="752"/>
        <w:gridCol w:w="1190"/>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61" w:type="pct"/>
            <w:vAlign w:val="center"/>
          </w:tcPr>
          <w:p>
            <w:pPr>
              <w:pStyle w:val="98"/>
              <w:widowControl w:val="0"/>
              <w:spacing w:before="0" w:beforeAutospacing="0" w:after="0" w:afterAutospacing="0"/>
              <w:rPr>
                <w:rFonts w:cs="宋体"/>
                <w:bCs w:val="0"/>
                <w:color w:val="000000" w:themeColor="text1"/>
                <w:kern w:val="2"/>
                <w:sz w:val="21"/>
                <w:szCs w:val="21"/>
                <w14:textFill>
                  <w14:solidFill>
                    <w14:schemeClr w14:val="tx1"/>
                  </w14:solidFill>
                </w14:textFill>
              </w:rPr>
            </w:pPr>
            <w:r>
              <w:rPr>
                <w:rFonts w:hint="eastAsia" w:cs="宋体"/>
                <w:bCs w:val="0"/>
                <w:color w:val="000000" w:themeColor="text1"/>
                <w:kern w:val="2"/>
                <w:sz w:val="21"/>
                <w:szCs w:val="21"/>
                <w14:textFill>
                  <w14:solidFill>
                    <w14:schemeClr w14:val="tx1"/>
                  </w14:solidFill>
                </w14:textFill>
              </w:rPr>
              <w:t>序号</w:t>
            </w:r>
          </w:p>
        </w:tc>
        <w:tc>
          <w:tcPr>
            <w:tcW w:w="955" w:type="pct"/>
            <w:vAlign w:val="center"/>
          </w:tcPr>
          <w:p>
            <w:pPr>
              <w:jc w:val="center"/>
              <w:rPr>
                <w:rFonts w:hint="default" w:ascii="宋体" w:hAnsi="宋体" w:cs="宋体"/>
                <w:b/>
                <w:color w:val="000000" w:themeColor="text1"/>
                <w:sz w:val="21"/>
                <w:szCs w:val="21"/>
                <w:lang w:val="en-US"/>
                <w14:textFill>
                  <w14:solidFill>
                    <w14:schemeClr w14:val="tx1"/>
                  </w14:solidFill>
                </w14:textFill>
              </w:rPr>
            </w:pPr>
            <w:r>
              <w:rPr>
                <w:rFonts w:hint="default" w:ascii="宋体" w:hAnsi="宋体" w:cs="宋体"/>
                <w:b/>
                <w:color w:val="000000" w:themeColor="text1"/>
                <w:sz w:val="21"/>
                <w:szCs w:val="21"/>
                <w:lang w:val="en-US"/>
                <w14:textFill>
                  <w14:solidFill>
                    <w14:schemeClr w14:val="tx1"/>
                  </w14:solidFill>
                </w14:textFill>
              </w:rPr>
              <w:t>货物名称</w:t>
            </w:r>
          </w:p>
        </w:tc>
        <w:tc>
          <w:tcPr>
            <w:tcW w:w="621"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品牌型号</w:t>
            </w:r>
          </w:p>
        </w:tc>
        <w:tc>
          <w:tcPr>
            <w:tcW w:w="66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原产地及</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生产厂商</w:t>
            </w:r>
          </w:p>
        </w:tc>
        <w:tc>
          <w:tcPr>
            <w:tcW w:w="42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单位</w:t>
            </w:r>
          </w:p>
        </w:tc>
        <w:tc>
          <w:tcPr>
            <w:tcW w:w="40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63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小计</w:t>
            </w:r>
          </w:p>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tcBorders>
              <w:bottom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6" w:type="pct"/>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合计（元）</w:t>
            </w:r>
          </w:p>
        </w:tc>
        <w:tc>
          <w:tcPr>
            <w:tcW w:w="621" w:type="pct"/>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2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00" w:type="pct"/>
            <w:vAlign w:val="center"/>
          </w:tcPr>
          <w:p>
            <w:pPr>
              <w:jc w:val="center"/>
              <w:rPr>
                <w:rFonts w:ascii="宋体" w:hAnsi="宋体" w:cs="宋体"/>
                <w:color w:val="000000" w:themeColor="text1"/>
                <w:sz w:val="21"/>
                <w:szCs w:val="21"/>
                <w14:textFill>
                  <w14:solidFill>
                    <w14:schemeClr w14:val="tx1"/>
                  </w14:solidFill>
                </w14:textFill>
              </w:rPr>
            </w:pPr>
          </w:p>
        </w:tc>
        <w:tc>
          <w:tcPr>
            <w:tcW w:w="63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p>
      <w:pPr>
        <w:pStyle w:val="14"/>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2" w:name="_Toc21877"/>
    </w:p>
    <w:bookmarkEnd w:id="32"/>
    <w:p>
      <w:pPr>
        <w:pStyle w:val="35"/>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3"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3"/>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5"/>
        <w:ind w:left="0" w:leftChars="0" w:firstLine="0" w:firstLineChars="0"/>
        <w:rPr>
          <w:color w:val="000000" w:themeColor="text1"/>
          <w14:textFill>
            <w14:solidFill>
              <w14:schemeClr w14:val="tx1"/>
            </w14:solidFill>
          </w14:textFill>
        </w:rPr>
      </w:pPr>
    </w:p>
    <w:p>
      <w:pPr>
        <w:pStyle w:val="5"/>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4" w:name="_Toc13504"/>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4"/>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5" w:name="_Toc10696"/>
      <w:r>
        <w:rPr>
          <w:rFonts w:hint="eastAsia" w:ascii="宋体" w:hAnsi="宋体" w:eastAsia="宋体" w:cs="宋体"/>
          <w:color w:val="000000" w:themeColor="text1"/>
          <w:sz w:val="24"/>
          <w:szCs w:val="24"/>
          <w14:textFill>
            <w14:solidFill>
              <w14:schemeClr w14:val="tx1"/>
            </w14:solidFill>
          </w14:textFill>
        </w:rPr>
        <w:t>投标授权书</w:t>
      </w:r>
      <w:bookmarkEnd w:id="35"/>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6" w:name="_Toc16258"/>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6"/>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7" w:name="_Toc29263"/>
      <w:bookmarkStart w:id="38" w:name="_Toc417045478"/>
      <w:r>
        <w:rPr>
          <w:rFonts w:hint="eastAsia" w:ascii="宋体" w:hAnsi="宋体" w:eastAsia="宋体" w:cs="宋体"/>
          <w:color w:val="000000" w:themeColor="text1"/>
          <w:sz w:val="24"/>
          <w:szCs w:val="24"/>
          <w14:textFill>
            <w14:solidFill>
              <w14:schemeClr w14:val="tx1"/>
            </w14:solidFill>
          </w14:textFill>
        </w:rPr>
        <w:t>投标函</w:t>
      </w:r>
      <w:bookmarkEnd w:id="37"/>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6"/>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9" w:name="_Toc18090"/>
      <w:r>
        <w:rPr>
          <w:rFonts w:hint="eastAsia" w:ascii="宋体" w:hAnsi="宋体" w:eastAsia="宋体" w:cs="宋体"/>
          <w:color w:val="000000" w:themeColor="text1"/>
          <w:sz w:val="24"/>
          <w:szCs w:val="24"/>
          <w14:textFill>
            <w14:solidFill>
              <w14:schemeClr w14:val="tx1"/>
            </w14:solidFill>
          </w14:textFill>
        </w:rPr>
        <w:t>附件</w:t>
      </w:r>
      <w:bookmarkEnd w:id="38"/>
      <w:r>
        <w:rPr>
          <w:rFonts w:hint="eastAsia" w:ascii="宋体" w:hAnsi="宋体" w:eastAsia="宋体" w:cs="宋体"/>
          <w:color w:val="000000" w:themeColor="text1"/>
          <w:sz w:val="24"/>
          <w:szCs w:val="24"/>
          <w14:textFill>
            <w14:solidFill>
              <w14:schemeClr w14:val="tx1"/>
            </w14:solidFill>
          </w14:textFill>
        </w:rPr>
        <w:t>五</w:t>
      </w:r>
      <w:bookmarkEnd w:id="39"/>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0"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0"/>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1" w:name="_Toc363199274"/>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2" w:name="_Toc12443"/>
      <w:r>
        <w:rPr>
          <w:rFonts w:hint="eastAsia" w:ascii="宋体" w:hAnsi="宋体" w:eastAsia="宋体" w:cs="宋体"/>
          <w:color w:val="000000" w:themeColor="text1"/>
          <w:sz w:val="24"/>
          <w:szCs w:val="24"/>
          <w14:textFill>
            <w14:solidFill>
              <w14:schemeClr w14:val="tx1"/>
            </w14:solidFill>
          </w14:textFill>
        </w:rPr>
        <w:t>附件</w:t>
      </w:r>
      <w:bookmarkEnd w:id="41"/>
      <w:r>
        <w:rPr>
          <w:rFonts w:hint="eastAsia" w:ascii="宋体" w:hAnsi="宋体" w:eastAsia="宋体" w:cs="宋体"/>
          <w:color w:val="000000" w:themeColor="text1"/>
          <w:sz w:val="24"/>
          <w:szCs w:val="24"/>
          <w14:textFill>
            <w14:solidFill>
              <w14:schemeClr w14:val="tx1"/>
            </w14:solidFill>
          </w14:textFill>
        </w:rPr>
        <w:t>六</w:t>
      </w:r>
      <w:bookmarkEnd w:id="42"/>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3"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3"/>
    </w:p>
    <w:p>
      <w:pPr>
        <w:jc w:val="center"/>
        <w:rPr>
          <w:bCs/>
          <w:color w:val="000000" w:themeColor="text1"/>
          <w:sz w:val="24"/>
          <w:szCs w:val="24"/>
          <w:lang w:val="zh-CN"/>
          <w14:textFill>
            <w14:solidFill>
              <w14:schemeClr w14:val="tx1"/>
            </w14:solidFill>
          </w14:textFill>
        </w:rPr>
      </w:pPr>
    </w:p>
    <w:tbl>
      <w:tblPr>
        <w:tblStyle w:val="3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4"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6"/>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5" w:name="_Toc13408"/>
      <w:r>
        <w:rPr>
          <w:rFonts w:hint="eastAsia" w:ascii="宋体" w:hAnsi="宋体" w:eastAsia="宋体" w:cs="宋体"/>
          <w:color w:val="000000" w:themeColor="text1"/>
          <w:sz w:val="24"/>
          <w:szCs w:val="24"/>
          <w14:textFill>
            <w14:solidFill>
              <w14:schemeClr w14:val="tx1"/>
            </w14:solidFill>
          </w14:textFill>
        </w:rPr>
        <w:t>附件</w:t>
      </w:r>
      <w:bookmarkEnd w:id="44"/>
      <w:r>
        <w:rPr>
          <w:rFonts w:hint="eastAsia" w:ascii="宋体" w:hAnsi="宋体" w:eastAsia="宋体" w:cs="宋体"/>
          <w:color w:val="000000" w:themeColor="text1"/>
          <w:sz w:val="24"/>
          <w:szCs w:val="24"/>
          <w14:textFill>
            <w14:solidFill>
              <w14:schemeClr w14:val="tx1"/>
            </w14:solidFill>
          </w14:textFill>
        </w:rPr>
        <w:t>七</w:t>
      </w:r>
      <w:bookmarkEnd w:id="45"/>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6"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6"/>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7"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7"/>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5"/>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8"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8"/>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lang w:val="en-US" w:eastAsia="zh-CN"/>
        </w:rPr>
        <w:t>皖西卫生职业学院附属医院植入式脊髓刺激电极项目</w:t>
      </w:r>
      <w:r>
        <w:rPr>
          <w:rFonts w:hint="eastAsia" w:ascii="黑体" w:hAnsi="黑体" w:eastAsia="黑体"/>
          <w:sz w:val="36"/>
          <w:szCs w:val="36"/>
        </w:rPr>
        <w:t>竞争性谈判二轮报价表</w:t>
      </w: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 xml:space="preserve">皖西卫生职业学院附属医院 </w:t>
      </w:r>
      <w:r>
        <w:rPr>
          <w:rFonts w:hint="eastAsia" w:ascii="宋体" w:hAnsi="宋体"/>
          <w:sz w:val="28"/>
          <w:szCs w:val="28"/>
          <w:u w:val="single"/>
        </w:rPr>
        <w:t>(</w:t>
      </w:r>
      <w:r>
        <w:rPr>
          <w:rFonts w:hint="eastAsia" w:ascii="宋体" w:hAnsi="宋体"/>
          <w:sz w:val="28"/>
          <w:szCs w:val="28"/>
        </w:rPr>
        <w:t>采购人)</w:t>
      </w:r>
    </w:p>
    <w:p>
      <w:pPr>
        <w:numPr>
          <w:ilvl w:val="0"/>
          <w:numId w:val="4"/>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皖西卫生职业学院附属医院植入式脊髓刺激电极项目进</w:t>
      </w:r>
      <w:r>
        <w:rPr>
          <w:rFonts w:hint="eastAsia" w:ascii="宋体" w:hAnsi="宋体"/>
          <w:sz w:val="28"/>
          <w:szCs w:val="28"/>
          <w:lang w:val="en-US" w:eastAsia="zh-CN"/>
        </w:rPr>
        <w:t>行二轮报价</w:t>
      </w:r>
      <w:r>
        <w:rPr>
          <w:rFonts w:hint="eastAsia" w:ascii="宋体" w:hAnsi="宋体"/>
          <w:sz w:val="28"/>
          <w:szCs w:val="28"/>
        </w:rPr>
        <w:t>：</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485"/>
        <w:gridCol w:w="998"/>
        <w:gridCol w:w="1105"/>
        <w:gridCol w:w="138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89" w:type="pct"/>
            <w:vAlign w:val="center"/>
          </w:tcPr>
          <w:p>
            <w:pPr>
              <w:jc w:val="center"/>
              <w:rPr>
                <w:rFonts w:ascii="宋体" w:hAnsi="宋体"/>
                <w:b/>
                <w:sz w:val="24"/>
                <w:szCs w:val="24"/>
              </w:rPr>
            </w:pPr>
            <w:r>
              <w:rPr>
                <w:rFonts w:hint="eastAsia" w:ascii="宋体" w:hAnsi="宋体"/>
                <w:b/>
                <w:sz w:val="24"/>
                <w:szCs w:val="24"/>
              </w:rPr>
              <w:t>序号</w:t>
            </w:r>
          </w:p>
        </w:tc>
        <w:tc>
          <w:tcPr>
            <w:tcW w:w="1854" w:type="pct"/>
            <w:vAlign w:val="center"/>
          </w:tcPr>
          <w:p>
            <w:pPr>
              <w:jc w:val="center"/>
              <w:rPr>
                <w:rFonts w:ascii="宋体" w:hAnsi="宋体"/>
                <w:b/>
                <w:sz w:val="24"/>
                <w:szCs w:val="24"/>
              </w:rPr>
            </w:pPr>
            <w:r>
              <w:rPr>
                <w:rFonts w:hint="eastAsia" w:ascii="宋体" w:hAnsi="宋体"/>
                <w:b/>
                <w:sz w:val="24"/>
                <w:szCs w:val="24"/>
                <w:lang w:val="en-US" w:eastAsia="zh-CN"/>
              </w:rPr>
              <w:t>货物名称</w:t>
            </w:r>
          </w:p>
        </w:tc>
        <w:tc>
          <w:tcPr>
            <w:tcW w:w="531"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单位</w:t>
            </w:r>
          </w:p>
        </w:tc>
        <w:tc>
          <w:tcPr>
            <w:tcW w:w="588"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数量</w:t>
            </w:r>
          </w:p>
        </w:tc>
        <w:tc>
          <w:tcPr>
            <w:tcW w:w="735"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单价（元）</w:t>
            </w:r>
          </w:p>
        </w:tc>
        <w:tc>
          <w:tcPr>
            <w:tcW w:w="1000" w:type="pct"/>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hint="eastAsia" w:ascii="宋体" w:hAnsi="宋体" w:eastAsia="宋体"/>
                <w:bCs/>
                <w:sz w:val="24"/>
                <w:szCs w:val="24"/>
                <w:lang w:val="en-US" w:eastAsia="zh-CN"/>
              </w:rPr>
            </w:pPr>
            <w:r>
              <w:rPr>
                <w:rFonts w:hint="eastAsia" w:ascii="宋体" w:hAnsi="宋体"/>
                <w:bCs/>
                <w:sz w:val="24"/>
                <w:szCs w:val="24"/>
                <w:lang w:val="en-US" w:eastAsia="zh-CN"/>
              </w:rPr>
              <w:t>1</w:t>
            </w:r>
          </w:p>
        </w:tc>
        <w:tc>
          <w:tcPr>
            <w:tcW w:w="3485" w:type="dxa"/>
            <w:vAlign w:val="center"/>
          </w:tcPr>
          <w:p>
            <w:pPr>
              <w:keepNext w:val="0"/>
              <w:keepLines w:val="0"/>
              <w:widowControl/>
              <w:suppressLineNumbers w:val="0"/>
              <w:jc w:val="center"/>
              <w:textAlignment w:val="center"/>
              <w:rPr>
                <w:rFonts w:hint="eastAsia" w:ascii="宋体" w:hAnsi="宋体" w:cs="宋体"/>
                <w:b w:val="0"/>
                <w:bCs/>
                <w:i w:val="0"/>
                <w:iCs w:val="0"/>
                <w:color w:val="000000"/>
                <w:kern w:val="2"/>
                <w:sz w:val="22"/>
                <w:szCs w:val="22"/>
                <w:u w:val="none"/>
                <w:lang w:val="en-US" w:eastAsia="zh-CN" w:bidi="ar-SA"/>
              </w:rPr>
            </w:pP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hint="eastAsia" w:ascii="宋体" w:hAnsi="宋体" w:eastAsia="宋体"/>
                <w:bCs/>
                <w:sz w:val="24"/>
                <w:szCs w:val="24"/>
                <w:lang w:eastAsia="zh-CN"/>
              </w:rPr>
            </w:pPr>
            <w:r>
              <w:rPr>
                <w:rFonts w:hint="eastAsia" w:ascii="宋体" w:hAnsi="宋体"/>
                <w:bCs/>
                <w:sz w:val="24"/>
                <w:szCs w:val="24"/>
                <w:lang w:val="en-US" w:eastAsia="zh-CN"/>
              </w:rPr>
              <w:t>2</w:t>
            </w:r>
          </w:p>
        </w:tc>
        <w:tc>
          <w:tcPr>
            <w:tcW w:w="3485"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2"/>
                <w:sz w:val="22"/>
                <w:szCs w:val="22"/>
                <w:u w:val="none"/>
                <w:lang w:val="en-US" w:eastAsia="zh-CN" w:bidi="ar-SA"/>
              </w:rPr>
            </w:pP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4" w:type="pct"/>
            <w:gridSpan w:val="2"/>
            <w:tcBorders>
              <w:bottom w:val="single" w:color="auto" w:sz="4" w:space="0"/>
            </w:tcBorders>
            <w:vAlign w:val="center"/>
          </w:tcPr>
          <w:p>
            <w:pPr>
              <w:pStyle w:val="104"/>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合计</w:t>
            </w:r>
          </w:p>
        </w:tc>
        <w:tc>
          <w:tcPr>
            <w:tcW w:w="2855" w:type="pct"/>
            <w:gridSpan w:val="4"/>
            <w:vAlign w:val="center"/>
          </w:tcPr>
          <w:p>
            <w:pPr>
              <w:jc w:val="center"/>
              <w:rPr>
                <w:rFonts w:hint="eastAsia" w:ascii="宋体" w:hAnsi="宋体" w:eastAsia="宋体"/>
                <w:bCs/>
                <w:sz w:val="24"/>
                <w:szCs w:val="24"/>
                <w:lang w:val="en-US" w:eastAsia="zh-CN"/>
              </w:rPr>
            </w:pPr>
          </w:p>
        </w:tc>
      </w:tr>
    </w:tbl>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（签字或盖章）</w:t>
      </w:r>
    </w:p>
    <w:p>
      <w:pPr>
        <w:wordWrap w:val="0"/>
        <w:ind w:right="280"/>
        <w:jc w:val="right"/>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jc w:val="left"/>
        <w:rPr>
          <w:rFonts w:hint="eastAsia" w:ascii="宋体" w:hAnsi="宋体"/>
          <w:b/>
          <w:color w:val="000000" w:themeColor="text1"/>
          <w14:textFill>
            <w14:solidFill>
              <w14:schemeClr w14:val="tx1"/>
            </w14:solidFill>
          </w14:textFill>
        </w:rPr>
      </w:pP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D873A21-E6CB-45CA-B453-17406DF1A56B}"/>
  </w:font>
  <w:font w:name="黑体">
    <w:panose1 w:val="02010609060101010101"/>
    <w:charset w:val="86"/>
    <w:family w:val="auto"/>
    <w:pitch w:val="default"/>
    <w:sig w:usb0="800002BF" w:usb1="38CF7CFA" w:usb2="00000016" w:usb3="00000000" w:csb0="00040001" w:csb1="00000000"/>
    <w:embedRegular r:id="rId2" w:fontKey="{205766D3-F5F2-41BA-B052-0B9851CC7A2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FDB4F079-7B2A-4D97-8E1A-4566F2E61017}"/>
  </w:font>
  <w:font w:name="仿宋_GB2312">
    <w:panose1 w:val="02010609030101010101"/>
    <w:charset w:val="86"/>
    <w:family w:val="modern"/>
    <w:pitch w:val="default"/>
    <w:sig w:usb0="00000001" w:usb1="080E0000" w:usb2="00000000" w:usb3="00000000" w:csb0="00040000" w:csb1="00000000"/>
    <w:embedRegular r:id="rId4" w:fontKey="{E6CB83E3-DBE4-49D6-BC9A-4E95828085FB}"/>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023BA6E1-5FFF-46CF-B7E1-9796026EF6B4}"/>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embedRegular r:id="rId6" w:fontKey="{310A8FB3-0150-46D5-A648-A671109E1CFB}"/>
  </w:font>
  <w:font w:name="Arial Black">
    <w:panose1 w:val="020B0A04020102020204"/>
    <w:charset w:val="00"/>
    <w:family w:val="swiss"/>
    <w:pitch w:val="default"/>
    <w:sig w:usb0="00000287" w:usb1="00000000" w:usb2="00000000" w:usb3="00000000" w:csb0="2000009F" w:csb1="DFD70000"/>
    <w:embedRegular r:id="rId7" w:fontKey="{0F28250C-9D76-4191-8B1E-0AC58C60966A}"/>
  </w:font>
  <w:font w:name="华文彩云">
    <w:altName w:val="微软雅黑"/>
    <w:panose1 w:val="02010800040101010101"/>
    <w:charset w:val="86"/>
    <w:family w:val="auto"/>
    <w:pitch w:val="default"/>
    <w:sig w:usb0="00000000" w:usb1="00000000" w:usb2="00000000" w:usb3="00000000" w:csb0="00040000" w:csb1="00000000"/>
    <w:embedRegular r:id="rId8" w:fontKey="{B2FC142D-6E3F-42EA-BBD2-7B1053ECC248}"/>
  </w:font>
  <w:font w:name="DotumChe">
    <w:panose1 w:val="020B0609000101010101"/>
    <w:charset w:val="81"/>
    <w:family w:val="modern"/>
    <w:pitch w:val="default"/>
    <w:sig w:usb0="B00002AF" w:usb1="69D77CFB" w:usb2="00000030" w:usb3="00000000" w:csb0="4008009F" w:csb1="DFD70000"/>
    <w:embedRegular r:id="rId9" w:fontKey="{CF02B296-95C8-473F-80C4-4912CDF61F5A}"/>
  </w:font>
  <w:font w:name="华文中宋">
    <w:panose1 w:val="02010600040101010101"/>
    <w:charset w:val="86"/>
    <w:family w:val="auto"/>
    <w:pitch w:val="default"/>
    <w:sig w:usb0="00000287" w:usb1="080F0000" w:usb2="00000000" w:usb3="00000000" w:csb0="0004009F" w:csb1="DFD70000"/>
    <w:embedRegular r:id="rId10" w:fontKey="{87CB4841-72D1-4BA7-84DD-8297E35DF082}"/>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w:t>
    </w:r>
    <w:r>
      <w:rPr>
        <w:rStyle w:val="40"/>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24</w:t>
    </w:r>
    <w:r>
      <w:rPr>
        <w:rStyle w:val="40"/>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192A63"/>
    <w:rsid w:val="03340CE1"/>
    <w:rsid w:val="039461D9"/>
    <w:rsid w:val="0396143C"/>
    <w:rsid w:val="03B22505"/>
    <w:rsid w:val="03D33559"/>
    <w:rsid w:val="03E94B2B"/>
    <w:rsid w:val="040A2CF3"/>
    <w:rsid w:val="045B70AB"/>
    <w:rsid w:val="046013D2"/>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C306C"/>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172EB3"/>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9B2EC6"/>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D412DA"/>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8D003A"/>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71F1C"/>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3B341D"/>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B3B53"/>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23230"/>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1E83DC4"/>
    <w:rsid w:val="320622E1"/>
    <w:rsid w:val="32066CD4"/>
    <w:rsid w:val="32364E8F"/>
    <w:rsid w:val="323A4EE4"/>
    <w:rsid w:val="32416504"/>
    <w:rsid w:val="324674CB"/>
    <w:rsid w:val="3247428E"/>
    <w:rsid w:val="325C4CE9"/>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BB5A78"/>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E4655"/>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B7C75"/>
    <w:rsid w:val="39BF540B"/>
    <w:rsid w:val="39CE564E"/>
    <w:rsid w:val="39E06304"/>
    <w:rsid w:val="3A23136C"/>
    <w:rsid w:val="3A4F3C2D"/>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9701A"/>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B17AA"/>
    <w:rsid w:val="44ED5522"/>
    <w:rsid w:val="44F6694B"/>
    <w:rsid w:val="44F81120"/>
    <w:rsid w:val="44F854A1"/>
    <w:rsid w:val="45082B96"/>
    <w:rsid w:val="451B4EA1"/>
    <w:rsid w:val="4527324A"/>
    <w:rsid w:val="45854E55"/>
    <w:rsid w:val="45AE57CA"/>
    <w:rsid w:val="45DF7C3E"/>
    <w:rsid w:val="4603038D"/>
    <w:rsid w:val="462633F2"/>
    <w:rsid w:val="46333408"/>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DEB7A89"/>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732359"/>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4D49A3"/>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5FFA7959"/>
    <w:rsid w:val="604857DD"/>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436AB5"/>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12B0"/>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8C0D3E"/>
    <w:rsid w:val="71C73000"/>
    <w:rsid w:val="71EC4F59"/>
    <w:rsid w:val="720E277F"/>
    <w:rsid w:val="721756F7"/>
    <w:rsid w:val="721D0945"/>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C51FE"/>
    <w:rsid w:val="7CBD75B2"/>
    <w:rsid w:val="7CD42548"/>
    <w:rsid w:val="7CF030BE"/>
    <w:rsid w:val="7CF84488"/>
    <w:rsid w:val="7D1705D7"/>
    <w:rsid w:val="7D17272E"/>
    <w:rsid w:val="7D1E6A55"/>
    <w:rsid w:val="7D2171FC"/>
    <w:rsid w:val="7D564A77"/>
    <w:rsid w:val="7D6C11CA"/>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6"/>
    <w:autoRedefine/>
    <w:qFormat/>
    <w:uiPriority w:val="0"/>
    <w:pPr>
      <w:keepNext/>
      <w:outlineLvl w:val="0"/>
    </w:pPr>
    <w:rPr>
      <w:sz w:val="28"/>
      <w:szCs w:val="24"/>
    </w:rPr>
  </w:style>
  <w:style w:type="paragraph" w:styleId="5">
    <w:name w:val="heading 2"/>
    <w:basedOn w:val="1"/>
    <w:next w:val="1"/>
    <w:link w:val="57"/>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58"/>
    <w:autoRedefine/>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59"/>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06"/>
    <w:autoRedefine/>
    <w:semiHidden/>
    <w:unhideWhenUsed/>
    <w:qFormat/>
    <w:uiPriority w:val="99"/>
    <w:pPr>
      <w:spacing w:after="120"/>
      <w:ind w:left="420" w:leftChars="200" w:firstLine="420" w:firstLineChars="200"/>
    </w:pPr>
    <w:rPr>
      <w:rFonts w:eastAsia="宋体"/>
      <w:sz w:val="21"/>
    </w:rPr>
  </w:style>
  <w:style w:type="paragraph" w:styleId="3">
    <w:name w:val="Body Text Indent"/>
    <w:basedOn w:val="1"/>
    <w:link w:val="61"/>
    <w:autoRedefine/>
    <w:qFormat/>
    <w:uiPriority w:val="0"/>
    <w:pPr>
      <w:ind w:firstLine="540"/>
    </w:pPr>
    <w:rPr>
      <w:rFonts w:eastAsia="仿宋_GB2312"/>
      <w:sz w:val="28"/>
    </w:rPr>
  </w:style>
  <w:style w:type="paragraph" w:styleId="8">
    <w:name w:val="toc 7"/>
    <w:basedOn w:val="1"/>
    <w:next w:val="1"/>
    <w:autoRedefine/>
    <w:qFormat/>
    <w:uiPriority w:val="0"/>
    <w:pPr>
      <w:ind w:left="2520" w:leftChars="1200"/>
    </w:pPr>
  </w:style>
  <w:style w:type="paragraph" w:styleId="9">
    <w:name w:val="Normal Indent"/>
    <w:basedOn w:val="1"/>
    <w:autoRedefine/>
    <w:qFormat/>
    <w:uiPriority w:val="0"/>
    <w:pPr>
      <w:spacing w:before="60"/>
      <w:ind w:firstLine="420" w:firstLineChars="200"/>
    </w:pPr>
    <w:rPr>
      <w:szCs w:val="24"/>
    </w:rPr>
  </w:style>
  <w:style w:type="paragraph" w:styleId="10">
    <w:name w:val="Document Map"/>
    <w:basedOn w:val="1"/>
    <w:link w:val="83"/>
    <w:autoRedefine/>
    <w:qFormat/>
    <w:uiPriority w:val="0"/>
    <w:pPr>
      <w:shd w:val="clear" w:color="auto" w:fill="000080"/>
    </w:pPr>
  </w:style>
  <w:style w:type="paragraph" w:styleId="11">
    <w:name w:val="annotation text"/>
    <w:basedOn w:val="1"/>
    <w:link w:val="77"/>
    <w:autoRedefine/>
    <w:semiHidden/>
    <w:qFormat/>
    <w:uiPriority w:val="99"/>
    <w:pPr>
      <w:jc w:val="left"/>
    </w:pPr>
  </w:style>
  <w:style w:type="paragraph" w:styleId="12">
    <w:name w:val="Body Text 3"/>
    <w:basedOn w:val="1"/>
    <w:link w:val="97"/>
    <w:autoRedefine/>
    <w:unhideWhenUsed/>
    <w:qFormat/>
    <w:uiPriority w:val="99"/>
    <w:pPr>
      <w:spacing w:after="120"/>
    </w:pPr>
    <w:rPr>
      <w:rFonts w:ascii="Calibri" w:hAnsi="Calibri"/>
      <w:sz w:val="16"/>
      <w:szCs w:val="16"/>
      <w:lang w:val="zh-CN"/>
    </w:rPr>
  </w:style>
  <w:style w:type="paragraph" w:styleId="13">
    <w:name w:val="Body Text"/>
    <w:basedOn w:val="1"/>
    <w:next w:val="14"/>
    <w:link w:val="72"/>
    <w:autoRedefine/>
    <w:qFormat/>
    <w:uiPriority w:val="0"/>
    <w:pPr>
      <w:spacing w:after="120"/>
    </w:pPr>
    <w:rPr>
      <w:szCs w:val="24"/>
    </w:rPr>
  </w:style>
  <w:style w:type="paragraph" w:styleId="14">
    <w:name w:val="Date"/>
    <w:basedOn w:val="1"/>
    <w:next w:val="1"/>
    <w:link w:val="60"/>
    <w:autoRedefine/>
    <w:qFormat/>
    <w:uiPriority w:val="0"/>
    <w:rPr>
      <w:rFonts w:ascii="Arial" w:hAnsi="Arial" w:eastAsia="楷体_GB2312"/>
      <w:sz w:val="28"/>
    </w:rPr>
  </w:style>
  <w:style w:type="paragraph" w:styleId="15">
    <w:name w:val="toc 5"/>
    <w:basedOn w:val="1"/>
    <w:next w:val="1"/>
    <w:autoRedefine/>
    <w:qFormat/>
    <w:uiPriority w:val="0"/>
    <w:pPr>
      <w:ind w:left="1680" w:leftChars="800"/>
    </w:pPr>
  </w:style>
  <w:style w:type="paragraph" w:styleId="16">
    <w:name w:val="toc 3"/>
    <w:basedOn w:val="1"/>
    <w:next w:val="1"/>
    <w:autoRedefine/>
    <w:qFormat/>
    <w:uiPriority w:val="39"/>
    <w:pPr>
      <w:ind w:left="840" w:leftChars="400"/>
    </w:pPr>
  </w:style>
  <w:style w:type="paragraph" w:styleId="17">
    <w:name w:val="Plain Text"/>
    <w:basedOn w:val="1"/>
    <w:link w:val="80"/>
    <w:autoRedefine/>
    <w:qFormat/>
    <w:uiPriority w:val="0"/>
    <w:rPr>
      <w:rFonts w:ascii="宋体" w:hAnsi="Courier New" w:cstheme="minorBidi"/>
      <w:szCs w:val="22"/>
    </w:rPr>
  </w:style>
  <w:style w:type="paragraph" w:styleId="18">
    <w:name w:val="toc 8"/>
    <w:basedOn w:val="1"/>
    <w:next w:val="1"/>
    <w:autoRedefine/>
    <w:qFormat/>
    <w:uiPriority w:val="0"/>
    <w:pPr>
      <w:ind w:left="2940" w:leftChars="1400"/>
    </w:pPr>
  </w:style>
  <w:style w:type="paragraph" w:styleId="19">
    <w:name w:val="Body Text Indent 2"/>
    <w:basedOn w:val="1"/>
    <w:link w:val="63"/>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4"/>
    <w:autoRedefine/>
    <w:qFormat/>
    <w:uiPriority w:val="0"/>
    <w:rPr>
      <w:sz w:val="18"/>
      <w:szCs w:val="18"/>
    </w:rPr>
  </w:style>
  <w:style w:type="paragraph" w:styleId="21">
    <w:name w:val="footer"/>
    <w:basedOn w:val="1"/>
    <w:link w:val="55"/>
    <w:autoRedefine/>
    <w:unhideWhenUsed/>
    <w:qFormat/>
    <w:uiPriority w:val="0"/>
    <w:pPr>
      <w:tabs>
        <w:tab w:val="center" w:pos="4153"/>
        <w:tab w:val="right" w:pos="8306"/>
      </w:tabs>
      <w:snapToGrid w:val="0"/>
      <w:jc w:val="left"/>
    </w:pPr>
    <w:rPr>
      <w:sz w:val="18"/>
      <w:szCs w:val="18"/>
    </w:rPr>
  </w:style>
  <w:style w:type="paragraph" w:styleId="22">
    <w:name w:val="envelope return"/>
    <w:basedOn w:val="1"/>
    <w:autoRedefine/>
    <w:unhideWhenUsed/>
    <w:qFormat/>
    <w:uiPriority w:val="99"/>
    <w:pPr>
      <w:snapToGrid w:val="0"/>
    </w:pPr>
    <w:rPr>
      <w:rFonts w:ascii="Arial" w:hAnsi="Arial" w:cs="Arial"/>
    </w:rPr>
  </w:style>
  <w:style w:type="paragraph" w:styleId="23">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List"/>
    <w:basedOn w:val="1"/>
    <w:autoRedefine/>
    <w:qFormat/>
    <w:uiPriority w:val="0"/>
    <w:pPr>
      <w:ind w:left="420" w:hanging="420"/>
    </w:pPr>
    <w:rPr>
      <w:rFonts w:ascii="Arial" w:hAnsi="Arial" w:eastAsia="楷体_GB2312"/>
      <w:kern w:val="2"/>
      <w:sz w:val="28"/>
    </w:rPr>
  </w:style>
  <w:style w:type="paragraph" w:styleId="27">
    <w:name w:val="toc 6"/>
    <w:basedOn w:val="1"/>
    <w:next w:val="1"/>
    <w:autoRedefine/>
    <w:qFormat/>
    <w:uiPriority w:val="0"/>
    <w:pPr>
      <w:ind w:left="2100" w:leftChars="1000"/>
    </w:pPr>
  </w:style>
  <w:style w:type="paragraph" w:styleId="28">
    <w:name w:val="Body Text Indent 3"/>
    <w:basedOn w:val="1"/>
    <w:link w:val="69"/>
    <w:autoRedefine/>
    <w:qFormat/>
    <w:uiPriority w:val="0"/>
    <w:pPr>
      <w:ind w:left="178" w:leftChars="85" w:firstLine="560" w:firstLineChars="200"/>
    </w:pPr>
    <w:rPr>
      <w:rFonts w:ascii="仿宋_GB2312" w:hAnsi="Arial" w:eastAsia="仿宋_GB2312"/>
      <w:sz w:val="28"/>
      <w:szCs w:val="24"/>
    </w:rPr>
  </w:style>
  <w:style w:type="paragraph" w:styleId="29">
    <w:name w:val="toc 2"/>
    <w:basedOn w:val="1"/>
    <w:next w:val="1"/>
    <w:autoRedefine/>
    <w:qFormat/>
    <w:uiPriority w:val="39"/>
    <w:pPr>
      <w:ind w:left="420" w:leftChars="200"/>
    </w:pPr>
  </w:style>
  <w:style w:type="paragraph" w:styleId="30">
    <w:name w:val="toc 9"/>
    <w:basedOn w:val="1"/>
    <w:next w:val="1"/>
    <w:autoRedefine/>
    <w:qFormat/>
    <w:uiPriority w:val="0"/>
    <w:pPr>
      <w:ind w:left="3360" w:leftChars="1600"/>
    </w:pPr>
  </w:style>
  <w:style w:type="paragraph" w:styleId="31">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2">
    <w:name w:val="Normal (Web)"/>
    <w:basedOn w:val="1"/>
    <w:autoRedefine/>
    <w:unhideWhenUsed/>
    <w:qFormat/>
    <w:uiPriority w:val="99"/>
    <w:pPr>
      <w:jc w:val="left"/>
    </w:pPr>
    <w:rPr>
      <w:kern w:val="0"/>
      <w:sz w:val="24"/>
    </w:rPr>
  </w:style>
  <w:style w:type="paragraph" w:styleId="33">
    <w:name w:val="index 1"/>
    <w:basedOn w:val="1"/>
    <w:next w:val="1"/>
    <w:autoRedefine/>
    <w:semiHidden/>
    <w:qFormat/>
    <w:uiPriority w:val="0"/>
    <w:pPr>
      <w:jc w:val="center"/>
    </w:pPr>
    <w:rPr>
      <w:rFonts w:ascii="仿宋_GB2312" w:eastAsia="仿宋_GB2312"/>
      <w:b/>
      <w:bCs/>
      <w:sz w:val="28"/>
    </w:rPr>
  </w:style>
  <w:style w:type="paragraph" w:styleId="34">
    <w:name w:val="annotation subject"/>
    <w:basedOn w:val="11"/>
    <w:next w:val="11"/>
    <w:link w:val="78"/>
    <w:autoRedefine/>
    <w:semiHidden/>
    <w:qFormat/>
    <w:uiPriority w:val="99"/>
    <w:rPr>
      <w:b/>
      <w:bCs/>
    </w:rPr>
  </w:style>
  <w:style w:type="paragraph" w:styleId="35">
    <w:name w:val="Body Text First Indent"/>
    <w:basedOn w:val="13"/>
    <w:autoRedefine/>
    <w:unhideWhenUsed/>
    <w:qFormat/>
    <w:uiPriority w:val="99"/>
    <w:pPr>
      <w:spacing w:line="400" w:lineRule="atLeast"/>
      <w:ind w:firstLine="426"/>
    </w:pPr>
    <w:rPr>
      <w:sz w:val="24"/>
      <w:szCs w:val="20"/>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autoRedefine/>
    <w:qFormat/>
    <w:uiPriority w:val="99"/>
    <w:rPr>
      <w:color w:val="0000FF"/>
      <w:u w:val="single"/>
    </w:rPr>
  </w:style>
  <w:style w:type="character" w:styleId="47">
    <w:name w:val="HTML Code"/>
    <w:basedOn w:val="38"/>
    <w:autoRedefine/>
    <w:semiHidden/>
    <w:unhideWhenUsed/>
    <w:qFormat/>
    <w:uiPriority w:val="99"/>
    <w:rPr>
      <w:rFonts w:hint="default"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autoRedefine/>
    <w:semiHidden/>
    <w:unhideWhenUsed/>
    <w:qFormat/>
    <w:uiPriority w:val="99"/>
    <w:rPr>
      <w:rFonts w:ascii="monospace" w:hAnsi="monospace" w:eastAsia="monospace" w:cs="monospace"/>
    </w:rPr>
  </w:style>
  <w:style w:type="paragraph" w:customStyle="1" w:styleId="52">
    <w:name w:val="无间隔1"/>
    <w:basedOn w:val="1"/>
    <w:autoRedefine/>
    <w:qFormat/>
    <w:uiPriority w:val="1"/>
    <w:pPr>
      <w:spacing w:line="400" w:lineRule="exact"/>
    </w:pPr>
    <w:rPr>
      <w:sz w:val="24"/>
    </w:rPr>
  </w:style>
  <w:style w:type="paragraph" w:customStyle="1" w:styleId="53">
    <w:name w:val="列出段落1"/>
    <w:basedOn w:val="1"/>
    <w:autoRedefine/>
    <w:qFormat/>
    <w:uiPriority w:val="0"/>
    <w:pPr>
      <w:ind w:firstLine="420" w:firstLineChars="200"/>
    </w:pPr>
    <w:rPr>
      <w:rFonts w:ascii="Calibri" w:hAnsi="Calibri"/>
      <w:szCs w:val="22"/>
    </w:rPr>
  </w:style>
  <w:style w:type="character" w:customStyle="1" w:styleId="54">
    <w:name w:val="页眉 Char"/>
    <w:basedOn w:val="38"/>
    <w:link w:val="23"/>
    <w:autoRedefine/>
    <w:qFormat/>
    <w:uiPriority w:val="0"/>
    <w:rPr>
      <w:sz w:val="18"/>
      <w:szCs w:val="18"/>
    </w:rPr>
  </w:style>
  <w:style w:type="character" w:customStyle="1" w:styleId="55">
    <w:name w:val="页脚 Char"/>
    <w:basedOn w:val="38"/>
    <w:link w:val="21"/>
    <w:autoRedefine/>
    <w:qFormat/>
    <w:uiPriority w:val="0"/>
    <w:rPr>
      <w:sz w:val="18"/>
      <w:szCs w:val="18"/>
    </w:rPr>
  </w:style>
  <w:style w:type="character" w:customStyle="1" w:styleId="56">
    <w:name w:val="标题 1 Char"/>
    <w:basedOn w:val="38"/>
    <w:link w:val="4"/>
    <w:autoRedefine/>
    <w:qFormat/>
    <w:uiPriority w:val="0"/>
    <w:rPr>
      <w:rFonts w:ascii="Times New Roman" w:hAnsi="Times New Roman" w:eastAsia="宋体" w:cs="Times New Roman"/>
      <w:sz w:val="28"/>
      <w:szCs w:val="24"/>
    </w:rPr>
  </w:style>
  <w:style w:type="character" w:customStyle="1" w:styleId="57">
    <w:name w:val="标题 2 Char"/>
    <w:basedOn w:val="38"/>
    <w:link w:val="5"/>
    <w:autoRedefine/>
    <w:qFormat/>
    <w:uiPriority w:val="0"/>
    <w:rPr>
      <w:rFonts w:ascii="Arial" w:hAnsi="Arial" w:eastAsia="黑体" w:cs="Times New Roman"/>
      <w:b/>
      <w:kern w:val="0"/>
      <w:sz w:val="32"/>
      <w:szCs w:val="20"/>
    </w:rPr>
  </w:style>
  <w:style w:type="character" w:customStyle="1" w:styleId="58">
    <w:name w:val="标题 3 Char"/>
    <w:basedOn w:val="38"/>
    <w:link w:val="6"/>
    <w:autoRedefine/>
    <w:qFormat/>
    <w:uiPriority w:val="0"/>
    <w:rPr>
      <w:rFonts w:ascii="Times New Roman" w:hAnsi="Times New Roman" w:eastAsia="宋体" w:cs="Times New Roman"/>
      <w:b/>
      <w:bCs/>
      <w:sz w:val="32"/>
      <w:szCs w:val="32"/>
      <w:lang w:val="zh-CN" w:eastAsia="zh-CN"/>
    </w:rPr>
  </w:style>
  <w:style w:type="character" w:customStyle="1" w:styleId="59">
    <w:name w:val="标题 4 Char"/>
    <w:basedOn w:val="38"/>
    <w:link w:val="7"/>
    <w:autoRedefine/>
    <w:qFormat/>
    <w:uiPriority w:val="0"/>
    <w:rPr>
      <w:rFonts w:ascii="Arial" w:hAnsi="Arial" w:eastAsia="黑体" w:cs="Times New Roman"/>
      <w:b/>
      <w:kern w:val="0"/>
      <w:sz w:val="28"/>
      <w:szCs w:val="20"/>
    </w:rPr>
  </w:style>
  <w:style w:type="character" w:customStyle="1" w:styleId="60">
    <w:name w:val="日期 Char"/>
    <w:basedOn w:val="38"/>
    <w:link w:val="14"/>
    <w:autoRedefine/>
    <w:qFormat/>
    <w:uiPriority w:val="0"/>
    <w:rPr>
      <w:rFonts w:ascii="Arial" w:hAnsi="Arial" w:eastAsia="楷体_GB2312" w:cs="Times New Roman"/>
      <w:sz w:val="28"/>
      <w:szCs w:val="20"/>
    </w:rPr>
  </w:style>
  <w:style w:type="character" w:customStyle="1" w:styleId="61">
    <w:name w:val="正文文本缩进 Char"/>
    <w:basedOn w:val="38"/>
    <w:link w:val="3"/>
    <w:autoRedefine/>
    <w:qFormat/>
    <w:uiPriority w:val="0"/>
    <w:rPr>
      <w:rFonts w:ascii="Times New Roman" w:hAnsi="Times New Roman" w:eastAsia="仿宋_GB2312" w:cs="Times New Roman"/>
      <w:sz w:val="28"/>
      <w:szCs w:val="20"/>
    </w:rPr>
  </w:style>
  <w:style w:type="paragraph" w:customStyle="1" w:styleId="62">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8"/>
    <w:link w:val="19"/>
    <w:autoRedefine/>
    <w:qFormat/>
    <w:uiPriority w:val="0"/>
    <w:rPr>
      <w:rFonts w:ascii="Times New Roman" w:hAnsi="Times New Roman" w:eastAsia="仿宋_GB2312" w:cs="Times New Roman"/>
      <w:sz w:val="28"/>
      <w:szCs w:val="20"/>
    </w:rPr>
  </w:style>
  <w:style w:type="paragraph" w:customStyle="1" w:styleId="64">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5"/>
    <w:autoRedefine/>
    <w:qFormat/>
    <w:uiPriority w:val="0"/>
    <w:pPr>
      <w:spacing w:line="240" w:lineRule="auto"/>
    </w:pPr>
    <w:rPr>
      <w:rFonts w:ascii="宋体" w:hAnsi="宋体" w:eastAsia="宋体"/>
      <w:sz w:val="21"/>
    </w:rPr>
  </w:style>
  <w:style w:type="paragraph" w:customStyle="1" w:styleId="67">
    <w:name w:val="Char Char Char Char Char"/>
    <w:basedOn w:val="1"/>
    <w:autoRedefine/>
    <w:qFormat/>
    <w:uiPriority w:val="0"/>
    <w:rPr>
      <w:rFonts w:ascii="Tahoma" w:hAnsi="Tahoma"/>
      <w:sz w:val="24"/>
    </w:rPr>
  </w:style>
  <w:style w:type="paragraph" w:customStyle="1" w:styleId="68">
    <w:name w:val="Char"/>
    <w:basedOn w:val="1"/>
    <w:autoRedefine/>
    <w:qFormat/>
    <w:uiPriority w:val="0"/>
    <w:rPr>
      <w:rFonts w:ascii="Tahoma" w:hAnsi="Tahoma"/>
      <w:sz w:val="24"/>
    </w:rPr>
  </w:style>
  <w:style w:type="character" w:customStyle="1" w:styleId="69">
    <w:name w:val="正文文本缩进 3 Char"/>
    <w:basedOn w:val="38"/>
    <w:link w:val="28"/>
    <w:autoRedefine/>
    <w:qFormat/>
    <w:uiPriority w:val="0"/>
    <w:rPr>
      <w:rFonts w:ascii="仿宋_GB2312" w:hAnsi="Arial" w:eastAsia="仿宋_GB2312" w:cs="Times New Roman"/>
      <w:sz w:val="28"/>
      <w:szCs w:val="24"/>
    </w:rPr>
  </w:style>
  <w:style w:type="paragraph" w:customStyle="1" w:styleId="70">
    <w:name w:val="Char1"/>
    <w:basedOn w:val="1"/>
    <w:autoRedefine/>
    <w:qFormat/>
    <w:uiPriority w:val="0"/>
    <w:rPr>
      <w:rFonts w:ascii="Tahoma" w:hAnsi="Tahoma" w:eastAsia="仿宋_GB2312"/>
      <w:sz w:val="24"/>
    </w:rPr>
  </w:style>
  <w:style w:type="paragraph" w:customStyle="1" w:styleId="71">
    <w:name w:val="Char Char Char Char Char Char Char1 Char"/>
    <w:basedOn w:val="1"/>
    <w:autoRedefine/>
    <w:qFormat/>
    <w:uiPriority w:val="0"/>
    <w:rPr>
      <w:rFonts w:ascii="Tahoma" w:hAnsi="Tahoma"/>
      <w:sz w:val="24"/>
    </w:rPr>
  </w:style>
  <w:style w:type="character" w:customStyle="1" w:styleId="72">
    <w:name w:val="正文文本 Char"/>
    <w:basedOn w:val="38"/>
    <w:link w:val="13"/>
    <w:autoRedefine/>
    <w:qFormat/>
    <w:uiPriority w:val="0"/>
    <w:rPr>
      <w:rFonts w:ascii="Times New Roman" w:hAnsi="Times New Roman" w:eastAsia="宋体" w:cs="Times New Roman"/>
      <w:szCs w:val="24"/>
    </w:rPr>
  </w:style>
  <w:style w:type="paragraph" w:customStyle="1" w:styleId="73">
    <w:name w:val="Char Char Char Char"/>
    <w:basedOn w:val="1"/>
    <w:next w:val="1"/>
    <w:autoRedefine/>
    <w:qFormat/>
    <w:uiPriority w:val="0"/>
    <w:pPr>
      <w:widowControl/>
      <w:spacing w:line="360" w:lineRule="auto"/>
      <w:jc w:val="left"/>
    </w:pPr>
  </w:style>
  <w:style w:type="character" w:customStyle="1" w:styleId="74">
    <w:name w:val="批注框文本 Char"/>
    <w:basedOn w:val="38"/>
    <w:link w:val="20"/>
    <w:autoRedefine/>
    <w:qFormat/>
    <w:uiPriority w:val="0"/>
    <w:rPr>
      <w:rFonts w:ascii="Times New Roman" w:hAnsi="Times New Roman" w:eastAsia="宋体" w:cs="Times New Roman"/>
      <w:sz w:val="18"/>
      <w:szCs w:val="18"/>
    </w:rPr>
  </w:style>
  <w:style w:type="paragraph" w:customStyle="1" w:styleId="75">
    <w:name w:val="Char Char Char"/>
    <w:basedOn w:val="1"/>
    <w:autoRedefine/>
    <w:qFormat/>
    <w:uiPriority w:val="0"/>
    <w:rPr>
      <w:rFonts w:ascii="Tahoma" w:hAnsi="Tahoma"/>
      <w:sz w:val="24"/>
    </w:rPr>
  </w:style>
  <w:style w:type="paragraph" w:customStyle="1" w:styleId="76">
    <w:name w:val="Char Char Char Char Char Char Char Char Char Char"/>
    <w:basedOn w:val="1"/>
    <w:autoRedefine/>
    <w:qFormat/>
    <w:uiPriority w:val="0"/>
    <w:rPr>
      <w:rFonts w:ascii="Tahoma" w:hAnsi="Tahoma" w:cs="仿宋_GB2312"/>
      <w:sz w:val="24"/>
    </w:rPr>
  </w:style>
  <w:style w:type="character" w:customStyle="1" w:styleId="77">
    <w:name w:val="批注文字 Char"/>
    <w:basedOn w:val="38"/>
    <w:link w:val="11"/>
    <w:autoRedefine/>
    <w:semiHidden/>
    <w:qFormat/>
    <w:uiPriority w:val="99"/>
    <w:rPr>
      <w:rFonts w:ascii="Times New Roman" w:hAnsi="Times New Roman" w:eastAsia="宋体" w:cs="Times New Roman"/>
      <w:szCs w:val="20"/>
    </w:rPr>
  </w:style>
  <w:style w:type="character" w:customStyle="1" w:styleId="78">
    <w:name w:val="批注主题 Char"/>
    <w:basedOn w:val="77"/>
    <w:link w:val="34"/>
    <w:autoRedefine/>
    <w:semiHidden/>
    <w:qFormat/>
    <w:uiPriority w:val="99"/>
    <w:rPr>
      <w:rFonts w:ascii="Times New Roman" w:hAnsi="Times New Roman" w:eastAsia="宋体" w:cs="Times New Roman"/>
      <w:b/>
      <w:bCs/>
      <w:szCs w:val="20"/>
    </w:rPr>
  </w:style>
  <w:style w:type="paragraph" w:customStyle="1" w:styleId="79">
    <w:name w:val="Char Char Char Char Char Char"/>
    <w:basedOn w:val="1"/>
    <w:autoRedefine/>
    <w:qFormat/>
    <w:uiPriority w:val="0"/>
  </w:style>
  <w:style w:type="character" w:customStyle="1" w:styleId="80">
    <w:name w:val="纯文本 Char"/>
    <w:link w:val="17"/>
    <w:autoRedefine/>
    <w:qFormat/>
    <w:uiPriority w:val="0"/>
    <w:rPr>
      <w:rFonts w:ascii="宋体" w:hAnsi="Courier New" w:eastAsia="宋体"/>
    </w:rPr>
  </w:style>
  <w:style w:type="character" w:customStyle="1" w:styleId="81">
    <w:name w:val="纯文本 Char1"/>
    <w:basedOn w:val="38"/>
    <w:autoRedefine/>
    <w:semiHidden/>
    <w:qFormat/>
    <w:uiPriority w:val="99"/>
    <w:rPr>
      <w:rFonts w:ascii="宋体" w:hAnsi="Courier New" w:eastAsia="宋体" w:cs="Courier New"/>
      <w:szCs w:val="21"/>
    </w:rPr>
  </w:style>
  <w:style w:type="paragraph" w:customStyle="1" w:styleId="82">
    <w:name w:val="Char12 Char Char Char"/>
    <w:basedOn w:val="1"/>
    <w:autoRedefine/>
    <w:qFormat/>
    <w:uiPriority w:val="0"/>
  </w:style>
  <w:style w:type="character" w:customStyle="1" w:styleId="83">
    <w:name w:val="文档结构图 Char"/>
    <w:basedOn w:val="38"/>
    <w:link w:val="10"/>
    <w:autoRedefine/>
    <w:qFormat/>
    <w:uiPriority w:val="0"/>
    <w:rPr>
      <w:rFonts w:ascii="Times New Roman" w:hAnsi="Times New Roman" w:eastAsia="宋体" w:cs="Times New Roman"/>
      <w:szCs w:val="20"/>
      <w:shd w:val="clear" w:color="auto" w:fill="000080"/>
    </w:rPr>
  </w:style>
  <w:style w:type="character" w:customStyle="1" w:styleId="84">
    <w:name w:val="style29"/>
    <w:autoRedefine/>
    <w:qFormat/>
    <w:uiPriority w:val="0"/>
  </w:style>
  <w:style w:type="character" w:customStyle="1" w:styleId="85">
    <w:name w:val="正文1"/>
    <w:autoRedefine/>
    <w:qFormat/>
    <w:uiPriority w:val="0"/>
  </w:style>
  <w:style w:type="character" w:customStyle="1" w:styleId="86">
    <w:name w:val="font11"/>
    <w:autoRedefine/>
    <w:qFormat/>
    <w:uiPriority w:val="0"/>
    <w:rPr>
      <w:rFonts w:hint="default" w:ascii="Times New Roman" w:hAnsi="Times New Roman" w:cs="Times New Roman"/>
      <w:color w:val="3366FF"/>
      <w:sz w:val="24"/>
      <w:szCs w:val="24"/>
      <w:u w:val="none"/>
    </w:rPr>
  </w:style>
  <w:style w:type="character" w:customStyle="1" w:styleId="87">
    <w:name w:val="font21"/>
    <w:basedOn w:val="38"/>
    <w:autoRedefine/>
    <w:qFormat/>
    <w:uiPriority w:val="0"/>
    <w:rPr>
      <w:rFonts w:hint="eastAsia" w:ascii="宋体" w:hAnsi="宋体" w:eastAsia="宋体"/>
      <w:color w:val="3366FF"/>
      <w:sz w:val="24"/>
      <w:szCs w:val="24"/>
      <w:u w:val="none"/>
    </w:rPr>
  </w:style>
  <w:style w:type="paragraph" w:customStyle="1" w:styleId="88">
    <w:name w:val="Char Char15"/>
    <w:basedOn w:val="1"/>
    <w:autoRedefine/>
    <w:qFormat/>
    <w:uiPriority w:val="0"/>
    <w:rPr>
      <w:rFonts w:ascii="Tahoma" w:hAnsi="Tahoma" w:eastAsia="仿宋_GB2312"/>
      <w:sz w:val="24"/>
    </w:rPr>
  </w:style>
  <w:style w:type="paragraph" w:customStyle="1" w:styleId="89">
    <w:name w:val="Char2"/>
    <w:basedOn w:val="1"/>
    <w:autoRedefine/>
    <w:qFormat/>
    <w:uiPriority w:val="0"/>
    <w:pPr>
      <w:tabs>
        <w:tab w:val="left" w:pos="360"/>
      </w:tabs>
    </w:pPr>
    <w:rPr>
      <w:sz w:val="24"/>
      <w:szCs w:val="24"/>
    </w:rPr>
  </w:style>
  <w:style w:type="paragraph" w:customStyle="1" w:styleId="90">
    <w:name w:val="Char16"/>
    <w:basedOn w:val="1"/>
    <w:autoRedefine/>
    <w:qFormat/>
    <w:uiPriority w:val="0"/>
    <w:rPr>
      <w:rFonts w:ascii="Tahoma" w:hAnsi="Tahoma" w:eastAsia="仿宋_GB2312"/>
      <w:sz w:val="24"/>
    </w:rPr>
  </w:style>
  <w:style w:type="paragraph" w:customStyle="1" w:styleId="91">
    <w:name w:val="Char Char1"/>
    <w:basedOn w:val="1"/>
    <w:autoRedefine/>
    <w:qFormat/>
    <w:uiPriority w:val="0"/>
    <w:rPr>
      <w:rFonts w:ascii="Tahoma" w:hAnsi="Tahoma"/>
      <w:sz w:val="24"/>
    </w:rPr>
  </w:style>
  <w:style w:type="paragraph" w:customStyle="1" w:styleId="92">
    <w:name w:val="Char Char Char Char Char Char Char"/>
    <w:basedOn w:val="1"/>
    <w:autoRedefine/>
    <w:qFormat/>
    <w:uiPriority w:val="0"/>
    <w:rPr>
      <w:szCs w:val="24"/>
    </w:rPr>
  </w:style>
  <w:style w:type="paragraph" w:customStyle="1" w:styleId="93">
    <w:name w:val="Char Char"/>
    <w:basedOn w:val="1"/>
    <w:autoRedefine/>
    <w:qFormat/>
    <w:uiPriority w:val="0"/>
    <w:rPr>
      <w:rFonts w:ascii="Tahoma" w:hAnsi="Tahoma" w:cs="仿宋_GB2312"/>
      <w:sz w:val="24"/>
    </w:rPr>
  </w:style>
  <w:style w:type="paragraph" w:customStyle="1" w:styleId="94">
    <w:name w:val="Char Char2"/>
    <w:basedOn w:val="1"/>
    <w:autoRedefine/>
    <w:qFormat/>
    <w:uiPriority w:val="0"/>
    <w:rPr>
      <w:rFonts w:ascii="Tahoma" w:hAnsi="Tahoma" w:cs="仿宋_GB2312"/>
      <w:sz w:val="24"/>
    </w:rPr>
  </w:style>
  <w:style w:type="paragraph" w:customStyle="1" w:styleId="95">
    <w:name w:val="Char Char Char1"/>
    <w:basedOn w:val="1"/>
    <w:autoRedefine/>
    <w:qFormat/>
    <w:uiPriority w:val="0"/>
    <w:rPr>
      <w:rFonts w:ascii="Tahoma" w:hAnsi="Tahoma"/>
      <w:sz w:val="24"/>
    </w:rPr>
  </w:style>
  <w:style w:type="paragraph" w:customStyle="1" w:styleId="96">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7">
    <w:name w:val="正文文本 3 Char"/>
    <w:basedOn w:val="38"/>
    <w:link w:val="12"/>
    <w:autoRedefine/>
    <w:qFormat/>
    <w:uiPriority w:val="99"/>
    <w:rPr>
      <w:rFonts w:ascii="Calibri" w:hAnsi="Calibri" w:eastAsia="宋体" w:cs="Times New Roman"/>
      <w:sz w:val="16"/>
      <w:szCs w:val="16"/>
      <w:lang w:val="zh-CN" w:eastAsia="zh-CN"/>
    </w:rPr>
  </w:style>
  <w:style w:type="paragraph" w:customStyle="1" w:styleId="9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9">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0">
    <w:name w:val="style23"/>
    <w:autoRedefine/>
    <w:qFormat/>
    <w:uiPriority w:val="0"/>
    <w:rPr>
      <w:rFonts w:ascii="Times New Roman" w:hAnsi="Times New Roman" w:eastAsia="宋体"/>
    </w:rPr>
  </w:style>
  <w:style w:type="paragraph" w:customStyle="1" w:styleId="101">
    <w:name w:val="p0"/>
    <w:basedOn w:val="1"/>
    <w:autoRedefine/>
    <w:qFormat/>
    <w:uiPriority w:val="0"/>
    <w:pPr>
      <w:widowControl/>
      <w:jc w:val="left"/>
    </w:pPr>
    <w:rPr>
      <w:rFonts w:ascii="等线" w:hAnsi="等线" w:eastAsia="等线" w:cs="等线"/>
      <w:kern w:val="0"/>
      <w:sz w:val="20"/>
      <w:szCs w:val="22"/>
    </w:rPr>
  </w:style>
  <w:style w:type="paragraph" w:customStyle="1" w:styleId="102">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4">
    <w:name w:val="List Paragraph"/>
    <w:basedOn w:val="1"/>
    <w:autoRedefine/>
    <w:qFormat/>
    <w:uiPriority w:val="34"/>
    <w:pPr>
      <w:ind w:firstLine="420" w:firstLineChars="200"/>
    </w:pPr>
  </w:style>
  <w:style w:type="character" w:customStyle="1" w:styleId="105">
    <w:name w:val="fontstyle31"/>
    <w:basedOn w:val="38"/>
    <w:autoRedefine/>
    <w:qFormat/>
    <w:uiPriority w:val="0"/>
    <w:rPr>
      <w:rFonts w:ascii="仿宋" w:hAnsi="仿宋" w:eastAsia="仿宋" w:cs="仿宋"/>
      <w:color w:val="000000"/>
      <w:sz w:val="28"/>
      <w:szCs w:val="28"/>
    </w:rPr>
  </w:style>
  <w:style w:type="character" w:customStyle="1" w:styleId="106">
    <w:name w:val="正文首行缩进 2 Char"/>
    <w:basedOn w:val="61"/>
    <w:link w:val="2"/>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8"/>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11</TotalTime>
  <ScaleCrop>false</ScaleCrop>
  <LinksUpToDate>false</LinksUpToDate>
  <CharactersWithSpaces>9170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郑玲玲</cp:lastModifiedBy>
  <cp:lastPrinted>2024-04-17T08:56:00Z</cp:lastPrinted>
  <dcterms:modified xsi:type="dcterms:W3CDTF">2024-04-23T08:34:23Z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DB620C71AFE1458EACB0ED75683FBC20_13</vt:lpwstr>
  </property>
</Properties>
</file>