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375" w:lineRule="atLeast"/>
        <w:ind w:left="0" w:right="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眼科A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/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B型超声诊断仪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技术参数</w:t>
      </w:r>
    </w:p>
    <w:p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B超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超声工作频率：10Mhz        扫描方式：扇形扫描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增益调节：≥98dB           显示方式：B、B+B、B+A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扫描范围：深度34-60mm,八档可变。扫描角度53°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分辨力：纵向≤0.2mm,横向≤0.4mm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图像灰阶：256级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距离测量：多组电子游标测距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面积测量：任意面积测量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五点标注测量：B超下可变声速的生物测量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A超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超声工作频率：10Mhz      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生物测量精度：≤±0.06mm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显示分辨力：0.01mm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测试范围：15mm-39mm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测量参数：前房深度、晶体度数，玻璃体长度、眼轴长度、自动计算标差、平均值及分析统计</w:t>
      </w: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测量方式：自动、手动冻结；正常眼、人工晶体眼、无晶体眼，致密白内障眼多种测量模式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150" w:beforeAutospacing="0" w:after="150" w:afterAutospacing="0" w:line="435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人工晶体计算：SRK/T、SRK/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</w:rPr>
        <w:t>II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eastAsia="zh-CN"/>
        </w:rPr>
        <w:t>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BINKHOST-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</w:rPr>
        <w:t>II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eastAsia="zh-CN"/>
        </w:rPr>
        <w:t>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HOLLDAY、HOFFER-Q、HAIGIS等公式</w:t>
      </w:r>
    </w:p>
    <w:p>
      <w:pP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※可分段声速设置、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硅油眼自行修改测量声速、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五点标注测量、显示标准差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※主机带黑白显示屏，翻盖式键盘，可折叠保护显示屏，主机与工作站分体式设计，简化操作，增强系统安全性、可靠性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241B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cs3286432</cp:lastModifiedBy>
  <dcterms:modified xsi:type="dcterms:W3CDTF">2018-05-04T07:44:10Z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2052-10.1.0.7311</vt:lpwstr>
  </property>
</Properties>
</file>