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jc w:val="center"/>
        <w:rPr>
          <w:rFonts w:hint="eastAsia" w:ascii="宋体" w:hAnsi="宋体" w:eastAsia="宋体"/>
          <w:b/>
          <w:bCs/>
          <w:color w:val="000000" w:themeColor="text1"/>
          <w:sz w:val="48"/>
          <w:szCs w:val="48"/>
          <w:lang w:eastAsia="zh-CN"/>
          <w14:textFill>
            <w14:solidFill>
              <w14:schemeClr w14:val="tx1"/>
            </w14:solidFill>
          </w14:textFill>
        </w:rPr>
      </w:pPr>
      <w:r>
        <w:rPr>
          <w:rFonts w:hint="eastAsia" w:ascii="宋体" w:hAnsi="宋体"/>
          <w:b/>
          <w:bCs/>
          <w:color w:val="000000" w:themeColor="text1"/>
          <w:sz w:val="48"/>
          <w:szCs w:val="48"/>
          <w:lang w:eastAsia="zh-CN"/>
          <w14:textFill>
            <w14:solidFill>
              <w14:schemeClr w14:val="tx1"/>
            </w14:solidFill>
          </w14:textFill>
        </w:rPr>
        <w:t>不锈钢制品采购项目（三次）</w:t>
      </w:r>
    </w:p>
    <w:p>
      <w:pPr>
        <w:tabs>
          <w:tab w:val="left" w:pos="420"/>
        </w:tabs>
        <w:spacing w:beforeLines="150"/>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14:textFill>
            <w14:solidFill>
              <w14:schemeClr w14:val="tx1"/>
            </w14:solidFill>
          </w14:textFill>
        </w:rPr>
        <w:t>竞争性谈判文件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2"/>
        <w:ind w:firstLine="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采购时间：2023年12月</w:t>
      </w:r>
    </w:p>
    <w:p>
      <w:pPr>
        <w:rPr>
          <w:b/>
          <w:color w:val="000000" w:themeColor="text1"/>
          <w:sz w:val="28"/>
          <w:szCs w:val="28"/>
          <w14:textFill>
            <w14:solidFill>
              <w14:schemeClr w14:val="tx1"/>
            </w14:solidFill>
          </w14:textFill>
        </w:rPr>
      </w:pPr>
    </w:p>
    <w:p>
      <w:pPr>
        <w:jc w:val="center"/>
        <w:rPr>
          <w:rFonts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6"/>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"_Toc6110" </w:instrText>
      </w:r>
      <w: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fldChar w:fldCharType="begin"/>
      </w:r>
      <w:r>
        <w:instrText xml:space="preserve"> HYPERLINK \l "_Toc16772" </w:instrText>
      </w:r>
      <w: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"_Toc24063" </w:instrText>
      </w:r>
      <w: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"_Toc11003" </w:instrText>
      </w:r>
      <w: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"_Toc20659" </w:instrText>
      </w:r>
      <w: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"_Toc7608" </w:instrText>
      </w:r>
      <w: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"_Toc3981" </w:instrText>
      </w:r>
      <w: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"_Toc13583" </w:instrText>
      </w:r>
      <w: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"_Toc636" </w:instrText>
      </w:r>
      <w: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"_Toc5003" </w:instrText>
      </w:r>
      <w: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"_Toc6858" </w:instrText>
      </w:r>
      <w: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"_Toc8827" </w:instrText>
      </w:r>
      <w: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"_Toc3341" </w:instrText>
      </w:r>
      <w: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"_Toc31380" </w:instrText>
      </w:r>
      <w: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fldChar w:fldCharType="begin"/>
      </w:r>
      <w:r>
        <w:instrText xml:space="preserve"> HYPERLINK \l "_Toc21436" </w:instrText>
      </w:r>
      <w: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fldChar w:fldCharType="begin"/>
      </w:r>
      <w:r>
        <w:instrText xml:space="preserve"> HYPERLINK \l "_Toc9917" </w:instrText>
      </w:r>
      <w: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fldChar w:fldCharType="begin"/>
      </w:r>
      <w:r>
        <w:instrText xml:space="preserve"> HYPERLINK \l "_Toc1857" </w:instrText>
      </w:r>
      <w: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"_Toc14928" </w:instrText>
      </w:r>
      <w: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17</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"_Toc15957" </w:instrText>
      </w:r>
      <w: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"_Toc21877" </w:instrText>
      </w:r>
      <w: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"_Toc13504" </w:instrText>
      </w:r>
      <w: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"_Toc16258" </w:instrText>
      </w:r>
      <w: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"_Toc18090" </w:instrText>
      </w:r>
      <w: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"_Toc12443" </w:instrText>
      </w:r>
      <w: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"_Toc13408" </w:instrText>
      </w:r>
      <w: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"_Toc27540" </w:instrText>
      </w:r>
      <w: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6"/>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"_Toc22660" </w:instrText>
      </w:r>
      <w: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6"/>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4"/>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hint="eastAsia" w:ascii="宋体" w:hAnsi="DotumChe" w:cs="宋体"/>
          <w:b/>
          <w:color w:val="000000" w:themeColor="text1"/>
          <w:spacing w:val="20"/>
          <w:kern w:val="0"/>
          <w:sz w:val="36"/>
          <w:szCs w:val="36"/>
          <w:lang w:eastAsia="zh-CN"/>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14:textFill>
            <w14:solidFill>
              <w14:schemeClr w14:val="tx1"/>
            </w14:solidFill>
          </w14:textFill>
        </w:rPr>
        <w:t>皖西卫生职业学院附属医院</w:t>
      </w:r>
      <w:r>
        <w:rPr>
          <w:rFonts w:hint="eastAsia" w:ascii="宋体" w:hAnsi="DotumChe" w:cs="宋体"/>
          <w:b/>
          <w:color w:val="000000" w:themeColor="text1"/>
          <w:spacing w:val="20"/>
          <w:kern w:val="0"/>
          <w:sz w:val="36"/>
          <w:szCs w:val="36"/>
          <w:lang w:eastAsia="zh-CN"/>
          <w14:textFill>
            <w14:solidFill>
              <w14:schemeClr w14:val="tx1"/>
            </w14:solidFill>
          </w14:textFill>
        </w:rPr>
        <w:t>不锈钢制品采购项目</w:t>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r>
        <w:rPr>
          <w:rFonts w:hint="eastAsia" w:ascii="宋体" w:hAnsi="DotumChe" w:cs="宋体"/>
          <w:b/>
          <w:color w:val="000000" w:themeColor="text1"/>
          <w:spacing w:val="20"/>
          <w:kern w:val="0"/>
          <w:sz w:val="36"/>
          <w:szCs w:val="36"/>
          <w:lang w:eastAsia="zh-CN"/>
          <w14:textFill>
            <w14:solidFill>
              <w14:schemeClr w14:val="tx1"/>
            </w14:solidFill>
          </w14:textFill>
        </w:rPr>
        <w:t>（三次）</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widowControl/>
        <w:spacing w:line="51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皖西卫生职业学院附属医院</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不锈钢制品采购项目（三次）</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属医院官网下载竞争性谈判文件，于</w:t>
      </w:r>
      <w:r>
        <w:rPr>
          <w:rFonts w:hint="eastAsia" w:ascii="宋体" w:hAnsi="宋体" w:cs="宋体" w:eastAsiaTheme="minorEastAsia"/>
          <w:color w:val="000000" w:themeColor="text1"/>
          <w:sz w:val="24"/>
          <w:szCs w:val="24"/>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u w:val="single"/>
          <w:shd w:val="clear" w:color="auto" w:fill="FFFFFF"/>
          <w14:textFill>
            <w14:solidFill>
              <w14:schemeClr w14:val="tx1"/>
            </w14:solidFill>
          </w14:textFill>
        </w:rPr>
        <w:t>1</w:t>
      </w:r>
      <w:r>
        <w:rPr>
          <w:rFonts w:hint="eastAsia" w:ascii="宋体" w:hAnsi="宋体" w:cs="宋体" w:eastAsiaTheme="minorEastAsia"/>
          <w:color w:val="000000" w:themeColor="text1"/>
          <w:sz w:val="24"/>
          <w:szCs w:val="24"/>
          <w:shd w:val="clear" w:color="auto" w:fill="FFFFFF"/>
          <w14:textFill>
            <w14:solidFill>
              <w14:schemeClr w14:val="tx1"/>
            </w14:solidFill>
          </w14:textFill>
        </w:rPr>
        <w:t>月</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3</w:t>
      </w:r>
      <w:r>
        <w:rPr>
          <w:rFonts w:hint="eastAsia" w:ascii="宋体" w:hAnsi="宋体" w:cs="宋体" w:eastAsiaTheme="minorEastAsia"/>
          <w:color w:val="000000" w:themeColor="text1"/>
          <w:sz w:val="24"/>
          <w:szCs w:val="24"/>
          <w:shd w:val="clear" w:color="auto" w:fill="FFFFFF"/>
          <w14:textFill>
            <w14:solidFill>
              <w14:schemeClr w14:val="tx1"/>
            </w14:solidFill>
          </w14:textFill>
        </w:rPr>
        <w:t>日</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shd w:val="clear" w:color="auto" w:fill="FFFFFF"/>
          <w14:textFill>
            <w14:solidFill>
              <w14:schemeClr w14:val="tx1"/>
            </w14:solidFill>
          </w14:textFill>
        </w:rPr>
        <w:t>点</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00</w:t>
      </w:r>
      <w:r>
        <w:rPr>
          <w:rFonts w:hint="eastAsia" w:ascii="宋体" w:hAnsi="宋体" w:cs="宋体" w:eastAsiaTheme="minorEastAsia"/>
          <w:color w:val="000000" w:themeColor="text1"/>
          <w:sz w:val="24"/>
          <w:szCs w:val="24"/>
          <w:shd w:val="clear" w:color="auto" w:fill="FFFFFF"/>
          <w14:textFill>
            <w14:solidFill>
              <w14:schemeClr w14:val="tx1"/>
            </w14:solidFill>
          </w14:textFill>
        </w:rPr>
        <w:t>分（北京时间）前递交响应文件。</w:t>
      </w:r>
    </w:p>
    <w:p>
      <w:pPr>
        <w:keepNext/>
        <w:keepLines/>
        <w:spacing w:line="510" w:lineRule="exact"/>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kern w:val="0"/>
          <w:sz w:val="24"/>
          <w:szCs w:val="24"/>
          <w:shd w:val="clear" w:color="auto" w:fill="FFFFFF"/>
          <w14:textFill>
            <w14:solidFill>
              <w14:schemeClr w14:val="tx1"/>
            </w14:solidFill>
          </w14:textFill>
        </w:rPr>
        <w:t>一、项目基本情况</w:t>
      </w:r>
    </w:p>
    <w:p>
      <w:pPr>
        <w:widowControl/>
        <w:spacing w:line="510" w:lineRule="exact"/>
        <w:ind w:firstLine="480" w:firstLineChars="200"/>
        <w:jc w:val="left"/>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LARX-20231203-3</w:t>
      </w:r>
    </w:p>
    <w:p>
      <w:pPr>
        <w:widowControl/>
        <w:spacing w:line="510" w:lineRule="exact"/>
        <w:ind w:firstLine="480" w:firstLineChars="200"/>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14:textFill>
            <w14:solidFill>
              <w14:schemeClr w14:val="tx1"/>
            </w14:solidFill>
          </w14:textFill>
        </w:rPr>
        <w:t>皖西卫生职业学院附属医院</w:t>
      </w:r>
      <w:r>
        <w:rPr>
          <w:rFonts w:hint="eastAsia" w:ascii="宋体" w:hAnsi="宋体" w:cs="宋体"/>
          <w:color w:val="000000" w:themeColor="text1"/>
          <w:sz w:val="24"/>
          <w:lang w:eastAsia="zh-CN"/>
          <w14:textFill>
            <w14:solidFill>
              <w14:schemeClr w14:val="tx1"/>
            </w14:solidFill>
          </w14:textFill>
        </w:rPr>
        <w:t>不锈钢制品采购项目（三次）</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3、项目类型：货物类</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6、预算金额：240000.00元（折扣率100%）</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7、最高限价：240000.00元（折扣率100%），响应报价不得不高于此限价；</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9、合同履行期限：采购周期</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两</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年。</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两</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年内若实际采购数量高于或低于带量采购数量，按照实际采购数量乘以中标单价结算。按采购人通知后2小时响应，72小时内送达，节假日照常配送；特别紧急的必须按采购人要求及时送达。否则解除带量采购合同。</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spacing w:line="510" w:lineRule="exact"/>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widowControl/>
        <w:spacing w:line="51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2.落实政府采购政策需满足的资格要求：无</w:t>
      </w:r>
    </w:p>
    <w:p>
      <w:pPr>
        <w:widowControl/>
        <w:spacing w:line="510" w:lineRule="exact"/>
        <w:ind w:firstLine="480" w:firstLineChars="200"/>
        <w:jc w:val="left"/>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若所投产品有医疗器械备案凭证或医疗器械注册证，供应商还需提供相应的医疗器械经营备案凭证或医疗器械经营许可证。</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widowControl/>
        <w:spacing w:line="51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spacing w:line="510" w:lineRule="exact"/>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spacing w:line="510" w:lineRule="exact"/>
        <w:ind w:firstLine="480" w:firstLineChars="200"/>
        <w:outlineLvl w:val="1"/>
        <w:rPr>
          <w:rFonts w:ascii="宋体" w:hAnsi="宋体" w:cs="宋体" w:eastAsiaTheme="minorEastAsia"/>
          <w:bCs/>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1、皖西卫生职业学院附属医院</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不锈钢制品采购项目（三次）</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的潜在投标人应在皖西卫生职业学院附属医院官网（http://www.laey.net/cn/list_2969.aspx）查看谈判公告并获取谈判文件，于</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2024年1月3日15点00分</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（北京时间）前递交响应文件。</w:t>
      </w:r>
    </w:p>
    <w:p>
      <w:pPr>
        <w:keepNext/>
        <w:keepLines/>
        <w:spacing w:line="510" w:lineRule="exact"/>
        <w:ind w:firstLine="480" w:firstLineChars="200"/>
        <w:outlineLvl w:val="1"/>
        <w:rPr>
          <w:rFonts w:ascii="宋体" w:hAnsi="宋体" w:cs="宋体" w:eastAsiaTheme="minorEastAsia"/>
          <w:bCs/>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2、谈判文件每套售价：0元/份。</w:t>
      </w:r>
    </w:p>
    <w:p>
      <w:pPr>
        <w:keepNext/>
        <w:keepLines/>
        <w:spacing w:line="510" w:lineRule="exact"/>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四、谈判开启及响应文件递交</w:t>
      </w:r>
    </w:p>
    <w:p>
      <w:pPr>
        <w:widowControl/>
        <w:spacing w:line="510" w:lineRule="exact"/>
        <w:ind w:firstLine="480" w:firstLineChars="200"/>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1、响应文件递交截止时间：</w:t>
      </w:r>
      <w:r>
        <w:rPr>
          <w:rFonts w:hint="eastAsia" w:ascii="宋体" w:hAnsi="宋体" w:cs="宋体"/>
          <w:color w:val="000000" w:themeColor="text1"/>
          <w:sz w:val="24"/>
          <w:szCs w:val="24"/>
          <w:u w:val="single"/>
          <w:shd w:val="clear" w:color="auto" w:fill="FFFFFF"/>
          <w14:textFill>
            <w14:solidFill>
              <w14:schemeClr w14:val="tx1"/>
            </w14:solidFill>
          </w14:textFill>
        </w:rPr>
        <w:t>2024</w:t>
      </w:r>
      <w:r>
        <w:rPr>
          <w:rFonts w:hint="eastAsia" w:ascii="宋体" w:hAnsi="宋体" w:cs="宋体"/>
          <w:color w:val="000000" w:themeColor="text1"/>
          <w:sz w:val="24"/>
          <w:szCs w:val="24"/>
          <w:u w:val="none"/>
          <w:shd w:val="clear" w:color="auto" w:fill="FFFFFF"/>
          <w14:textFill>
            <w14:solidFill>
              <w14:schemeClr w14:val="tx1"/>
            </w14:solidFill>
          </w14:textFill>
        </w:rPr>
        <w:t>年</w:t>
      </w:r>
      <w:r>
        <w:rPr>
          <w:rFonts w:hint="eastAsia" w:ascii="宋体" w:hAnsi="宋体" w:cs="宋体"/>
          <w:color w:val="000000" w:themeColor="text1"/>
          <w:sz w:val="24"/>
          <w:szCs w:val="24"/>
          <w:u w:val="single"/>
          <w:shd w:val="clear" w:color="auto" w:fill="FFFFFF"/>
          <w14:textFill>
            <w14:solidFill>
              <w14:schemeClr w14:val="tx1"/>
            </w14:solidFill>
          </w14:textFill>
        </w:rPr>
        <w:t>1</w:t>
      </w:r>
      <w:r>
        <w:rPr>
          <w:rFonts w:hint="eastAsia" w:ascii="宋体" w:hAnsi="宋体" w:cs="宋体"/>
          <w:color w:val="000000" w:themeColor="text1"/>
          <w:sz w:val="24"/>
          <w:szCs w:val="24"/>
          <w:u w:val="none"/>
          <w:shd w:val="clear" w:color="auto" w:fill="FFFFFF"/>
          <w14:textFill>
            <w14:solidFill>
              <w14:schemeClr w14:val="tx1"/>
            </w14:solidFill>
          </w14:textFill>
        </w:rPr>
        <w:t>月</w:t>
      </w:r>
      <w:r>
        <w:rPr>
          <w:rFonts w:hint="eastAsia" w:ascii="宋体" w:hAnsi="宋体" w:cs="宋体"/>
          <w:color w:val="000000" w:themeColor="text1"/>
          <w:sz w:val="24"/>
          <w:szCs w:val="24"/>
          <w:u w:val="single"/>
          <w:shd w:val="clear" w:color="auto" w:fill="FFFFFF"/>
          <w14:textFill>
            <w14:solidFill>
              <w14:schemeClr w14:val="tx1"/>
            </w14:solidFill>
          </w14:textFill>
        </w:rPr>
        <w:t>3</w:t>
      </w:r>
      <w:r>
        <w:rPr>
          <w:rFonts w:hint="eastAsia" w:ascii="宋体" w:hAnsi="宋体" w:cs="宋体"/>
          <w:color w:val="000000" w:themeColor="text1"/>
          <w:sz w:val="24"/>
          <w:szCs w:val="24"/>
          <w:u w:val="none"/>
          <w:shd w:val="clear" w:color="auto" w:fill="FFFFFF"/>
          <w14:textFill>
            <w14:solidFill>
              <w14:schemeClr w14:val="tx1"/>
            </w14:solidFill>
          </w14:textFill>
        </w:rPr>
        <w:t>日</w:t>
      </w:r>
      <w:r>
        <w:rPr>
          <w:rFonts w:hint="eastAsia" w:ascii="宋体" w:hAnsi="宋体" w:cs="宋体"/>
          <w:color w:val="000000" w:themeColor="text1"/>
          <w:sz w:val="24"/>
          <w:szCs w:val="24"/>
          <w:u w:val="single"/>
          <w:shd w:val="clear" w:color="auto" w:fill="FFFFFF"/>
          <w14:textFill>
            <w14:solidFill>
              <w14:schemeClr w14:val="tx1"/>
            </w14:solidFill>
          </w14:textFill>
        </w:rPr>
        <w:t>15</w:t>
      </w:r>
      <w:r>
        <w:rPr>
          <w:rFonts w:hint="eastAsia" w:ascii="宋体" w:hAnsi="宋体" w:cs="宋体"/>
          <w:color w:val="000000" w:themeColor="text1"/>
          <w:sz w:val="24"/>
          <w:szCs w:val="24"/>
          <w:u w:val="none"/>
          <w:shd w:val="clear" w:color="auto" w:fill="FFFFFF"/>
          <w14:textFill>
            <w14:solidFill>
              <w14:schemeClr w14:val="tx1"/>
            </w14:solidFill>
          </w14:textFill>
        </w:rPr>
        <w:t>点</w:t>
      </w:r>
      <w:r>
        <w:rPr>
          <w:rFonts w:hint="eastAsia" w:ascii="宋体" w:hAnsi="宋体" w:cs="宋体"/>
          <w:color w:val="000000" w:themeColor="text1"/>
          <w:sz w:val="24"/>
          <w:szCs w:val="24"/>
          <w:u w:val="single"/>
          <w:shd w:val="clear" w:color="auto" w:fill="FFFFFF"/>
          <w14:textFill>
            <w14:solidFill>
              <w14:schemeClr w14:val="tx1"/>
            </w14:solidFill>
          </w14:textFill>
        </w:rPr>
        <w:t>00</w:t>
      </w:r>
      <w:r>
        <w:rPr>
          <w:rFonts w:hint="eastAsia" w:ascii="宋体" w:hAnsi="宋体" w:cs="宋体"/>
          <w:color w:val="000000" w:themeColor="text1"/>
          <w:sz w:val="24"/>
          <w:szCs w:val="24"/>
          <w:u w:val="none"/>
          <w:shd w:val="clear" w:color="auto" w:fill="FFFFFF"/>
          <w14:textFill>
            <w14:solidFill>
              <w14:schemeClr w14:val="tx1"/>
            </w14:solidFill>
          </w14:textFill>
        </w:rPr>
        <w:t>分</w:t>
      </w:r>
      <w:r>
        <w:rPr>
          <w:rFonts w:hint="eastAsia" w:ascii="宋体" w:hAnsi="宋体" w:cs="宋体"/>
          <w:color w:val="000000" w:themeColor="text1"/>
          <w:sz w:val="24"/>
          <w:szCs w:val="24"/>
          <w:shd w:val="clear" w:color="auto" w:fill="FFFFFF"/>
          <w14:textFill>
            <w14:solidFill>
              <w14:schemeClr w14:val="tx1"/>
            </w14:solidFill>
          </w14:textFill>
        </w:rPr>
        <w:t>（北京时间）</w:t>
      </w:r>
    </w:p>
    <w:p>
      <w:pPr>
        <w:widowControl/>
        <w:spacing w:line="560" w:lineRule="exact"/>
        <w:ind w:firstLine="482" w:firstLineChars="200"/>
        <w:jc w:val="left"/>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2、</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响应文件递交方式：本项目采取不见面开标</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方</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式进行开标，各投</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标供应商须在</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截止时间前将纸质版本响应文件密封完整后邮寄至采购人处</w:t>
      </w:r>
      <w:r>
        <w:rPr>
          <w:rFonts w:hint="eastAsia" w:ascii="宋体" w:hAnsi="宋体" w:cs="宋体" w:eastAsiaTheme="minorEastAsia"/>
          <w:b/>
          <w:color w:val="000000" w:themeColor="text1"/>
          <w:kern w:val="0"/>
          <w:sz w:val="24"/>
          <w:szCs w:val="24"/>
          <w:shd w:val="clear" w:color="auto" w:fill="FFFFFF"/>
          <w:lang w:eastAsia="zh-CN"/>
          <w14:textFill>
            <w14:solidFill>
              <w14:schemeClr w14:val="tx1"/>
            </w14:solidFill>
          </w14:textFill>
        </w:rPr>
        <w:t>，</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响应文件中必须留有准确的联系方式</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widowControl/>
        <w:spacing w:line="560" w:lineRule="exact"/>
        <w:ind w:firstLine="482" w:firstLineChars="200"/>
        <w:jc w:val="left"/>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3、邮寄地址：</w:t>
      </w:r>
      <w:r>
        <w:rPr>
          <w:rFonts w:hint="eastAsia" w:ascii="宋体" w:hAnsi="宋体" w:cs="宋体" w:eastAsiaTheme="minorEastAsia"/>
          <w:b/>
          <w:color w:val="000000" w:themeColor="text1"/>
          <w:kern w:val="0"/>
          <w:sz w:val="24"/>
          <w:szCs w:val="24"/>
          <w:shd w:val="clear" w:color="auto" w:fill="FFFFFF"/>
          <w:lang w:eastAsia="zh-CN"/>
          <w14:textFill>
            <w14:solidFill>
              <w14:schemeClr w14:val="tx1"/>
            </w14:solidFill>
          </w14:textFill>
        </w:rPr>
        <w:t>六安市裕安区磨子潭路</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73号</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皖西卫生职业学院附属医院</w:t>
      </w:r>
      <w:r>
        <w:rPr>
          <w:rFonts w:hint="eastAsia" w:ascii="宋体" w:hAnsi="宋体" w:cs="宋体" w:eastAsiaTheme="minorEastAsia"/>
          <w:b/>
          <w:color w:val="000000" w:themeColor="text1"/>
          <w:kern w:val="0"/>
          <w:sz w:val="24"/>
          <w:szCs w:val="24"/>
          <w:shd w:val="clear" w:color="auto" w:fill="FFFFFF"/>
          <w:lang w:eastAsia="zh-CN"/>
          <w14:textFill>
            <w14:solidFill>
              <w14:schemeClr w14:val="tx1"/>
            </w14:solidFill>
          </w14:textFill>
        </w:rPr>
        <w:t>（六安市第二人民医院）</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原行政办公楼（一号楼正后方）三楼；邮寄收件人：陈老师，0564-3300160。</w:t>
      </w:r>
    </w:p>
    <w:p>
      <w:pPr>
        <w:widowControl/>
        <w:spacing w:line="510" w:lineRule="exact"/>
        <w:ind w:firstLine="482" w:firstLineChars="200"/>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4、注意事项：供应商应同时充分考虑快递邮寄在途、快递派送等时间，如未按要求提交响应文件或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widowControl/>
        <w:spacing w:line="510" w:lineRule="exact"/>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五、公告期限</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widowControl/>
        <w:spacing w:line="510" w:lineRule="exact"/>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六、其他补充事宜</w:t>
      </w:r>
    </w:p>
    <w:p>
      <w:pPr>
        <w:widowControl/>
        <w:numPr>
          <w:ilvl w:val="0"/>
          <w:numId w:val="0"/>
        </w:numPr>
        <w:spacing w:line="56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以电话形式告知</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后，以电子档（原件扫描件）形式发送至采购代理机构邮箱</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（741807897@qq.com），采购代理机构现场向谈判小组、采购人及监督部门公布</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p>
    <w:p>
      <w:pPr>
        <w:keepNext/>
        <w:keepLines/>
        <w:spacing w:line="510" w:lineRule="exact"/>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widowControl/>
        <w:spacing w:line="510" w:lineRule="exac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名称：六安市瑞新项目管理有限公司</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地址：六安市皖西路健康苑小区10幢203商铺</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联系方式：18956446679</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widowControl/>
        <w:spacing w:line="510" w:lineRule="exact"/>
        <w:jc w:val="left"/>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项目联系人：李工</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电话：18956446679</w:t>
      </w:r>
    </w:p>
    <w:p>
      <w:pPr>
        <w:spacing w:line="510" w:lineRule="exact"/>
        <w:rPr>
          <w:rFonts w:asciiTheme="minorHAnsi" w:hAnsiTheme="minorHAnsi" w:eastAsiaTheme="minorEastAsia" w:cstheme="minorBidi"/>
          <w:color w:val="000000" w:themeColor="text1"/>
          <w:sz w:val="24"/>
          <w:szCs w:val="24"/>
          <w14:textFill>
            <w14:solidFill>
              <w14:schemeClr w14:val="tx1"/>
            </w14:solidFill>
          </w14:textFill>
        </w:rPr>
      </w:pPr>
    </w:p>
    <w:p>
      <w:pPr>
        <w:spacing w:line="510" w:lineRule="exact"/>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spacing w:line="510" w:lineRule="exact"/>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六安市瑞新项目管理有限公司</w:t>
      </w:r>
    </w:p>
    <w:p>
      <w:pPr>
        <w:spacing w:line="510" w:lineRule="exact"/>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2023年12月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28</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4"/>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4"/>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5" w:name="_Toc24063"/>
      <w:r>
        <w:rPr>
          <w:rFonts w:hint="eastAsia" w:ascii="宋体" w:hAnsi="宋体" w:cs="宋体"/>
          <w:color w:val="000000" w:themeColor="text1"/>
          <w:sz w:val="24"/>
          <w:szCs w:val="24"/>
          <w14:textFill>
            <w14:solidFill>
              <w14:schemeClr w14:val="tx1"/>
            </w14:solidFill>
          </w14:textFill>
        </w:rPr>
        <w:t>（一）须知前附表</w:t>
      </w:r>
      <w:bookmarkEnd w:id="5"/>
    </w:p>
    <w:tbl>
      <w:tblPr>
        <w:tblStyle w:val="3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216158627"/>
            <w:bookmarkStart w:id="8" w:name="_Toc36319926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6"/>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6"/>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6"/>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6"/>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14:textFill>
                  <w14:solidFill>
                    <w14:schemeClr w14:val="tx1"/>
                  </w14:solidFill>
                </w14:textFill>
              </w:rPr>
              <w:t>皖西卫生职业学院附属医院</w:t>
            </w:r>
            <w:r>
              <w:rPr>
                <w:rFonts w:hint="eastAsia"/>
                <w:b w:val="0"/>
                <w:bCs w:val="0"/>
                <w:color w:val="000000" w:themeColor="text1"/>
                <w:sz w:val="24"/>
                <w:szCs w:val="24"/>
                <w:lang w:eastAsia="zh-CN"/>
                <w14:textFill>
                  <w14:solidFill>
                    <w14:schemeClr w14:val="tx1"/>
                  </w14:solidFill>
                </w14:textFill>
              </w:rPr>
              <w:t>不锈钢制品采购项目（三次）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6"/>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LARX-20231203-3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：合同签订后按照实际使用量结算，货到现场完成供货及安装并经验收合格后付清。</w:t>
            </w:r>
          </w:p>
          <w:p>
            <w:pPr>
              <w:pStyle w:val="96"/>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8</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合同履行期限</w:t>
            </w:r>
          </w:p>
        </w:tc>
        <w:tc>
          <w:tcPr>
            <w:tcW w:w="7671" w:type="dxa"/>
            <w:vAlign w:val="center"/>
          </w:tcPr>
          <w:p>
            <w:pPr>
              <w:pStyle w:val="96"/>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sz w:val="24"/>
                <w:szCs w:val="24"/>
              </w:rPr>
              <w:t>采购周期</w:t>
            </w:r>
            <w:r>
              <w:rPr>
                <w:rFonts w:hint="eastAsia"/>
                <w:b w:val="0"/>
                <w:bCs w:val="0"/>
                <w:sz w:val="24"/>
                <w:szCs w:val="24"/>
                <w:lang w:val="en-US" w:eastAsia="zh-CN"/>
              </w:rPr>
              <w:t>两</w:t>
            </w:r>
            <w:r>
              <w:rPr>
                <w:rFonts w:hint="eastAsia"/>
                <w:b w:val="0"/>
                <w:bCs w:val="0"/>
                <w:sz w:val="24"/>
                <w:szCs w:val="24"/>
              </w:rPr>
              <w:t>年。</w:t>
            </w:r>
            <w:r>
              <w:rPr>
                <w:rFonts w:hint="eastAsia"/>
                <w:b w:val="0"/>
                <w:bCs w:val="0"/>
                <w:sz w:val="24"/>
                <w:szCs w:val="24"/>
                <w:lang w:val="en-US" w:eastAsia="zh-CN"/>
              </w:rPr>
              <w:t>两</w:t>
            </w:r>
            <w:r>
              <w:rPr>
                <w:rFonts w:hint="eastAsia"/>
                <w:b w:val="0"/>
                <w:bCs w:val="0"/>
                <w:sz w:val="24"/>
                <w:szCs w:val="24"/>
              </w:rPr>
              <w:t>年内若实际采购数量高于或低于带量采购数量，按照实际采购数量乘以中标单价结算。按采购人通知后2小时响应，72小时内送达，节假日照常配送；特别紧急的必须按采购人要求及时送达。否则解除带量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9</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免费质保期</w:t>
            </w:r>
          </w:p>
        </w:tc>
        <w:tc>
          <w:tcPr>
            <w:tcW w:w="7671" w:type="dxa"/>
            <w:vAlign w:val="center"/>
          </w:tcPr>
          <w:p>
            <w:pPr>
              <w:pStyle w:val="94"/>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lang w:val="en-US"/>
                <w14:textFill>
                  <w14:solidFill>
                    <w14:schemeClr w14:val="tx1"/>
                  </w14:solidFill>
                </w14:textFill>
              </w:rPr>
            </w:pPr>
            <w:r>
              <w:rPr>
                <w:rFonts w:hint="eastAsia" w:ascii="宋体" w:hAnsi="宋体" w:cs="宋体"/>
                <w:lang w:val="en-US"/>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中标服务费</w:t>
            </w:r>
          </w:p>
        </w:tc>
        <w:tc>
          <w:tcPr>
            <w:tcW w:w="7671" w:type="dxa"/>
            <w:vAlign w:val="center"/>
          </w:tcPr>
          <w:p>
            <w:pPr>
              <w:pStyle w:val="94"/>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lang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eastAsia="zh-CN"/>
                <w14:textFill>
                  <w14:solidFill>
                    <w14:schemeClr w14:val="tx1"/>
                  </w14:solidFill>
                </w14:textFill>
              </w:rPr>
              <w:t>。</w:t>
            </w:r>
          </w:p>
          <w:p>
            <w:pPr>
              <w:pStyle w:val="94"/>
              <w:pBdr>
                <w:bottom w:val="none" w:color="auto" w:sz="0" w:space="0"/>
              </w:pBdr>
              <w:tabs>
                <w:tab w:val="clear" w:pos="4153"/>
                <w:tab w:val="clear" w:pos="8306"/>
              </w:tabs>
              <w:adjustRightInd/>
              <w:spacing w:line="460" w:lineRule="exact"/>
              <w:jc w:val="both"/>
              <w:rPr>
                <w:b/>
                <w:bCs/>
                <w:color w:val="000000" w:themeColor="text1"/>
                <w:szCs w:val="24"/>
                <w:lang w:val="en-US"/>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w:t>
            </w:r>
            <w:bookmarkStart w:id="48" w:name="_GoBack"/>
            <w:bookmarkEnd w:id="48"/>
            <w:r>
              <w:rPr>
                <w:rFonts w:hint="eastAsia" w:ascii="宋体" w:hAnsi="宋体" w:cs="宋体"/>
                <w:b/>
                <w:bCs/>
                <w:color w:val="000000" w:themeColor="text1"/>
                <w:szCs w:val="24"/>
                <w14:textFill>
                  <w14:solidFill>
                    <w14:schemeClr w14:val="tx1"/>
                  </w14:solidFill>
                </w14:textFill>
              </w:rPr>
              <w:t>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1</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4"/>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2</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4"/>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4"/>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3</w:t>
            </w:r>
          </w:p>
        </w:tc>
        <w:tc>
          <w:tcPr>
            <w:tcW w:w="1784" w:type="dxa"/>
            <w:vAlign w:val="center"/>
          </w:tcPr>
          <w:p>
            <w:pPr>
              <w:pStyle w:val="94"/>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4"/>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邮寄至</w:t>
            </w:r>
            <w:r>
              <w:rPr>
                <w:rFonts w:hint="eastAsia" w:ascii="宋体" w:hAnsi="宋体" w:cs="宋体"/>
                <w:b/>
                <w:color w:val="000000" w:themeColor="text1"/>
                <w:kern w:val="2"/>
                <w:szCs w:val="24"/>
                <w14:textFill>
                  <w14:solidFill>
                    <w14:schemeClr w14:val="tx1"/>
                  </w14:solidFill>
                </w14:textFill>
              </w:rPr>
              <w:t>开标现场。</w:t>
            </w:r>
          </w:p>
          <w:p>
            <w:pPr>
              <w:pStyle w:val="94"/>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4</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5</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9" w:name="_Toc11003"/>
      <w:r>
        <w:rPr>
          <w:rFonts w:hint="eastAsia" w:ascii="宋体" w:hAnsi="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ascii="宋体" w:hAnsi="宋体" w:cs="宋体" w:eastAsiaTheme="minorEastAsia"/>
          <w:color w:val="000000" w:themeColor="text1"/>
          <w:sz w:val="24"/>
          <w:szCs w:val="24"/>
          <w:shd w:val="clear" w:color="auto" w:fill="FFFFFF"/>
          <w14:textFill>
            <w14:solidFill>
              <w14:schemeClr w14:val="tx1"/>
            </w14:solidFill>
          </w14:textFill>
        </w:rPr>
      </w:pPr>
      <w:bookmarkStart w:id="10" w:name="_Toc363199266"/>
      <w:bookmarkStart w:id="11" w:name="_Toc438648662"/>
      <w:bookmarkStart w:id="12" w:name="_Toc216158625"/>
      <w:bookmarkStart w:id="13" w:name="_Toc20659"/>
      <w:r>
        <w:rPr>
          <w:rFonts w:hint="eastAsia" w:ascii="宋体" w:hAnsi="宋体" w:cs="宋体" w:eastAsiaTheme="minorEastAsia"/>
          <w:color w:val="000000" w:themeColor="text1"/>
          <w:sz w:val="24"/>
          <w:szCs w:val="24"/>
          <w:shd w:val="clear" w:color="auto" w:fill="FFFFFF"/>
          <w14:textFill>
            <w14:solidFill>
              <w14:schemeClr w14:val="tx1"/>
            </w14:solidFill>
          </w14:textFill>
        </w:rPr>
        <w:t>详见采购公告</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24"/>
          <w:szCs w:val="24"/>
          <w14:textFill>
            <w14:solidFill>
              <w14:schemeClr w14:val="tx1"/>
            </w14:solidFill>
          </w14:textFill>
        </w:rPr>
      </w:pPr>
      <w:bookmarkStart w:id="14" w:name="_Toc7608"/>
      <w:r>
        <w:rPr>
          <w:rFonts w:hint="eastAsia" w:ascii="宋体" w:hAnsi="宋体" w:cs="宋体"/>
          <w:b/>
          <w:bCs/>
          <w:color w:val="000000" w:themeColor="text1"/>
          <w:sz w:val="24"/>
          <w:szCs w:val="24"/>
          <w14:textFill>
            <w14:solidFill>
              <w14:schemeClr w14:val="tx1"/>
            </w14:solidFill>
          </w14:textFill>
        </w:rPr>
        <w:t>（四）投标保证金</w:t>
      </w:r>
      <w:bookmarkEnd w:id="14"/>
    </w:p>
    <w:p>
      <w:pPr>
        <w:pStyle w:val="100"/>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（五）响应文件的提交</w:t>
      </w:r>
      <w:bookmarkEnd w:id="15"/>
    </w:p>
    <w:p>
      <w:pPr>
        <w:pStyle w:val="15"/>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w:t>
      </w:r>
      <w:r>
        <w:rPr>
          <w:rFonts w:hint="eastAsia" w:hAnsi="宋体" w:cs="宋体"/>
          <w:color w:val="000000" w:themeColor="text1"/>
          <w:sz w:val="24"/>
          <w14:textFill>
            <w14:solidFill>
              <w14:schemeClr w14:val="tx1"/>
            </w14:solidFill>
          </w14:textFill>
        </w:rPr>
        <w:tab/>
      </w:r>
    </w:p>
    <w:p>
      <w:pPr>
        <w:spacing w:line="360" w:lineRule="auto"/>
        <w:rPr>
          <w:rFonts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r>
        <w:rPr>
          <w:rFonts w:hint="eastAsia" w:ascii="宋体" w:hAnsi="宋体" w:cs="宋体"/>
          <w:b/>
          <w:bCs/>
          <w:color w:val="000000" w:themeColor="text1"/>
          <w:sz w:val="24"/>
          <w14:textFill>
            <w14:solidFill>
              <w14:schemeClr w14:val="tx1"/>
            </w14:solidFill>
          </w14:textFill>
        </w:rPr>
        <w:t>。</w:t>
      </w:r>
      <w:bookmarkStart w:id="17" w:name="_Hlt509650747"/>
      <w:bookmarkEnd w:id="17"/>
    </w:p>
    <w:p>
      <w:pPr>
        <w:pStyle w:val="15"/>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5"/>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5"/>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2.2供应商应当在谈判文件要求提交响应文件的截止时间前，将响应文件密封邮寄</w:t>
      </w:r>
      <w:r>
        <w:rPr>
          <w:rFonts w:hint="eastAsia" w:hAnsi="宋体" w:cs="宋体"/>
          <w:color w:val="000000" w:themeColor="text1"/>
          <w:sz w:val="24"/>
          <w:lang w:val="en-US" w:eastAsia="zh-CN"/>
          <w14:textFill>
            <w14:solidFill>
              <w14:schemeClr w14:val="tx1"/>
            </w14:solidFill>
          </w14:textFill>
        </w:rPr>
        <w:t>至</w:t>
      </w:r>
      <w:r>
        <w:rPr>
          <w:rFonts w:hint="eastAsia" w:hAnsi="宋体" w:cs="宋体"/>
          <w:color w:val="000000" w:themeColor="text1"/>
          <w:sz w:val="24"/>
          <w14:textFill>
            <w14:solidFill>
              <w14:schemeClr w14:val="tx1"/>
            </w14:solidFill>
          </w14:textFill>
        </w:rPr>
        <w:t>谈判地点。</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ascii="宋体" w:hAnsi="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b/>
          <w:bCs/>
          <w:color w:val="000000" w:themeColor="text1"/>
          <w:sz w:val="24"/>
          <w:szCs w:val="24"/>
          <w14:textFill>
            <w14:solidFill>
              <w14:schemeClr w14:val="tx1"/>
            </w14:solidFill>
          </w14:textFill>
        </w:rPr>
        <w:t>谈判结束后，谈判小组将以电话形式告知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电子档（原件扫描件）形式发送至采购代理机构邮箱（</w:t>
      </w:r>
      <w:r>
        <w:rPr>
          <w:rFonts w:hint="eastAsia" w:ascii="宋体" w:hAnsi="宋体" w:cs="Arial"/>
          <w:b/>
          <w:bCs/>
          <w:color w:val="000000" w:themeColor="text1"/>
          <w:sz w:val="24"/>
          <w:szCs w:val="24"/>
          <w:lang w:val="en-US" w:eastAsia="zh-CN"/>
          <w14:textFill>
            <w14:solidFill>
              <w14:schemeClr w14:val="tx1"/>
            </w14:solidFill>
          </w14:textFill>
        </w:rPr>
        <w:t>741807897</w:t>
      </w:r>
      <w:r>
        <w:rPr>
          <w:rFonts w:hint="eastAsia" w:ascii="宋体" w:hAnsi="宋体" w:eastAsia="宋体" w:cs="Arial"/>
          <w:b/>
          <w:bCs/>
          <w:color w:val="000000" w:themeColor="text1"/>
          <w:sz w:val="24"/>
          <w:szCs w:val="24"/>
          <w14:textFill>
            <w14:solidFill>
              <w14:schemeClr w14:val="tx1"/>
            </w14:solidFill>
          </w14:textFill>
        </w:rPr>
        <w:t>@qq.com），采购代理机构现场向谈判小组、采购人及监督部门公布</w:t>
      </w:r>
      <w:r>
        <w:rPr>
          <w:rFonts w:hint="eastAsia" w:ascii="宋体" w:hAnsi="宋体" w:cs="Arial"/>
          <w:color w:val="000000" w:themeColor="text1"/>
          <w:sz w:val="24"/>
          <w:szCs w:val="24"/>
          <w14:textFill>
            <w14:solidFill>
              <w14:schemeClr w14:val="tx1"/>
            </w14:solidFill>
          </w14:textFill>
        </w:rPr>
        <w:t>。</w:t>
      </w:r>
    </w:p>
    <w:p>
      <w:pPr>
        <w:tabs>
          <w:tab w:val="left" w:pos="900"/>
        </w:tabs>
        <w:spacing w:line="360" w:lineRule="auto"/>
        <w:jc w:val="center"/>
        <w:rPr>
          <w:rFonts w:ascii="宋体" w:hAnsi="宋体" w:cs="Arial"/>
          <w:b/>
          <w:bCs/>
          <w:color w:val="000000" w:themeColor="text1"/>
          <w:sz w:val="24"/>
          <w:szCs w:val="24"/>
          <w14:textFill>
            <w14:solidFill>
              <w14:schemeClr w14:val="tx1"/>
            </w14:solidFill>
          </w14:textFill>
        </w:rPr>
      </w:pPr>
      <w:bookmarkStart w:id="18" w:name="_Toc636"/>
      <w:r>
        <w:rPr>
          <w:rFonts w:hint="eastAsia" w:ascii="宋体" w:hAnsi="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2名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19" w:name="_Toc5003"/>
      <w:r>
        <w:rPr>
          <w:rFonts w:hint="eastAsia" w:ascii="宋体" w:hAnsi="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20" w:name="_Toc6858"/>
      <w:r>
        <w:rPr>
          <w:rFonts w:hint="eastAsia" w:ascii="宋体" w:hAnsi="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22" w:name="_Toc3341"/>
      <w:r>
        <w:rPr>
          <w:rFonts w:hint="eastAsia" w:ascii="宋体" w:hAnsi="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5"/>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23" w:name="_Toc31380"/>
      <w:r>
        <w:rPr>
          <w:rFonts w:hint="eastAsia" w:ascii="宋体" w:hAnsi="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line="560" w:lineRule="exact"/>
        <w:jc w:val="center"/>
        <w:rPr>
          <w:rFonts w:ascii="宋体" w:hAnsi="宋体" w:cs="宋体"/>
          <w:color w:val="000000" w:themeColor="text1"/>
          <w:sz w:val="28"/>
          <w:szCs w:val="28"/>
          <w14:textFill>
            <w14:solidFill>
              <w14:schemeClr w14:val="tx1"/>
            </w14:solidFill>
          </w14:textFill>
        </w:rPr>
      </w:pPr>
      <w:bookmarkStart w:id="25" w:name="_Toc21436"/>
    </w:p>
    <w:p>
      <w:pPr>
        <w:pStyle w:val="5"/>
        <w:spacing w:before="0" w:after="0" w:line="56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二、采购合同</w:t>
      </w:r>
    </w:p>
    <w:p>
      <w:pPr>
        <w:pStyle w:val="5"/>
        <w:spacing w:before="0" w:after="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ascii="宋体" w:hAnsi="宋体" w:cs="宋体"/>
          <w:b/>
          <w:color w:val="000000" w:themeColor="text1"/>
          <w:kern w:val="0"/>
          <w:sz w:val="28"/>
          <w:szCs w:val="28"/>
          <w14:textFill>
            <w14:solidFill>
              <w14:schemeClr w14:val="tx1"/>
            </w14:solidFill>
          </w14:textFill>
        </w:rPr>
      </w:pPr>
      <w:bookmarkStart w:id="27" w:name="_Toc9917"/>
      <w:r>
        <w:rPr>
          <w:rFonts w:hint="eastAsia" w:ascii="宋体" w:hAnsi="宋体" w:cs="宋体"/>
          <w:b/>
          <w:color w:val="000000" w:themeColor="text1"/>
          <w:kern w:val="0"/>
          <w:sz w:val="28"/>
          <w:szCs w:val="28"/>
          <w14:textFill>
            <w14:solidFill>
              <w14:schemeClr w14:val="tx1"/>
            </w14:solidFill>
          </w14:textFill>
        </w:rPr>
        <w:t>采购需求</w:t>
      </w:r>
      <w:bookmarkEnd w:id="27"/>
      <w:bookmarkStart w:id="28" w:name="_Toc1857"/>
    </w:p>
    <w:tbl>
      <w:tblPr>
        <w:tblStyle w:val="34"/>
        <w:tblW w:w="0" w:type="auto"/>
        <w:tblInd w:w="93" w:type="dxa"/>
        <w:tblLayout w:type="autofit"/>
        <w:tblCellMar>
          <w:top w:w="0" w:type="dxa"/>
          <w:left w:w="108" w:type="dxa"/>
          <w:bottom w:w="0" w:type="dxa"/>
          <w:right w:w="108" w:type="dxa"/>
        </w:tblCellMar>
      </w:tblPr>
      <w:tblGrid>
        <w:gridCol w:w="658"/>
        <w:gridCol w:w="2812"/>
        <w:gridCol w:w="1879"/>
        <w:gridCol w:w="658"/>
        <w:gridCol w:w="658"/>
        <w:gridCol w:w="1321"/>
        <w:gridCol w:w="1321"/>
      </w:tblGrid>
      <w:tr>
        <w:tblPrEx>
          <w:tblCellMar>
            <w:top w:w="0" w:type="dxa"/>
            <w:left w:w="108" w:type="dxa"/>
            <w:bottom w:w="0" w:type="dxa"/>
            <w:right w:w="108" w:type="dxa"/>
          </w:tblCellMar>
        </w:tblPrEx>
        <w:trPr>
          <w:trHeight w:val="405"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不锈钢制品采购需求表（2年预算）</w:t>
            </w:r>
          </w:p>
        </w:tc>
      </w:tr>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货物名称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品牌型号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单价（元）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金额（元）</w:t>
            </w:r>
          </w:p>
        </w:tc>
      </w:tr>
      <w:tr>
        <w:tblPrEx>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201不锈钢货架（3层）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1500*550*1800mm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15120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201不锈钢货架（4层）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650*400*1350mm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400*1100*1800mm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3447</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600*380*1200mm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2000*600*1800mm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22200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201不锈钢货架（5层）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900*450*2000mm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201不锈钢拖把架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1000*1750*450mm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12960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201不锈钢单杆衣架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1200*1600mm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1656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1800*1600mm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1500*1500mm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684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1500*1600mm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201不锈钢托盘架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1600*600*200mm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1350*600*200mm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201不锈钢消防衣帽柜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1800*550*1800mm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5520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1000*550*1800mm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304不锈钢器械柜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900*400*1800mm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19080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201不锈钢平板车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1000*700*900mm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5112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1000*600*900mm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3072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304不锈钢医疗垃圾车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1050*680*800mm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全钢制上下铺床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2060*900*1850mm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15300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201不锈钢托板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1490*500*40mm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672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201不锈钢托板架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1200*550*200mm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3456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1350*600*200mm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2000*750*200mm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1632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1000*500*200mm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672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28</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1050*680*800mm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1670*500*200mm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2304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1824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1000*550*200mm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700*550*200mm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1008</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1500*700*200mm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304不锈钢操作台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1100*700*800mm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3504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2200*800*800mm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护罩保温桶架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570*540*700mm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保温桶架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500*500*580mm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304不锈钢器械台车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900*600*900mm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4176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620*420*900mm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304不锈钢清创车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800*500*600mm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2832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201不锈钢床头钢制平板床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2060*900*500mm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304不锈钢双抽治疗车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720*420*900mm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2736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304不锈钢单抽治疗车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550*420*750mm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3585</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201不锈钢陪护椅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600*600*1900mm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6912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304不锈钢输液架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300*300*2200mm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14400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240000</w:t>
            </w:r>
          </w:p>
        </w:tc>
      </w:tr>
    </w:tbl>
    <w:p>
      <w:pPr>
        <w:pStyle w:val="32"/>
        <w:ind w:firstLine="560" w:firstLineChars="200"/>
        <w:jc w:val="left"/>
        <w:rPr>
          <w:rFonts w:ascii="宋体" w:hAnsi="宋体" w:cs="宋体"/>
          <w:color w:val="000000" w:themeColor="text1"/>
          <w:sz w:val="28"/>
          <w:szCs w:val="28"/>
          <w14:textFill>
            <w14:solidFill>
              <w14:schemeClr w14:val="tx1"/>
            </w14:solidFill>
          </w14:textFill>
        </w:rPr>
      </w:pPr>
    </w:p>
    <w:p>
      <w:pPr>
        <w:pStyle w:val="32"/>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备注：1、此预算为预采购金额，采购周期</w:t>
      </w:r>
      <w:r>
        <w:rPr>
          <w:rFonts w:hint="eastAsia" w:ascii="宋体" w:hAnsi="宋体" w:cs="宋体"/>
          <w:b/>
          <w:bCs/>
          <w:color w:val="000000" w:themeColor="text1"/>
          <w:sz w:val="28"/>
          <w:szCs w:val="28"/>
          <w:lang w:val="en-US" w:eastAsia="zh-CN"/>
          <w14:textFill>
            <w14:solidFill>
              <w14:schemeClr w14:val="tx1"/>
            </w14:solidFill>
          </w14:textFill>
        </w:rPr>
        <w:t>两</w:t>
      </w:r>
      <w:r>
        <w:rPr>
          <w:rFonts w:hint="eastAsia" w:ascii="宋体" w:hAnsi="宋体" w:cs="宋体"/>
          <w:b/>
          <w:bCs/>
          <w:color w:val="000000" w:themeColor="text1"/>
          <w:sz w:val="28"/>
          <w:szCs w:val="28"/>
          <w14:textFill>
            <w14:solidFill>
              <w14:schemeClr w14:val="tx1"/>
            </w14:solidFill>
          </w14:textFill>
        </w:rPr>
        <w:t>年，实际采购</w:t>
      </w:r>
      <w:r>
        <w:rPr>
          <w:rFonts w:hint="eastAsia" w:ascii="宋体" w:hAnsi="宋体" w:cs="宋体"/>
          <w:b/>
          <w:bCs/>
          <w:color w:val="000000" w:themeColor="text1"/>
          <w:sz w:val="28"/>
          <w:szCs w:val="28"/>
          <w:lang w:eastAsia="zh-CN"/>
          <w14:textFill>
            <w14:solidFill>
              <w14:schemeClr w14:val="tx1"/>
            </w14:solidFill>
          </w14:textFill>
        </w:rPr>
        <w:t>数量及</w:t>
      </w:r>
      <w:r>
        <w:rPr>
          <w:rFonts w:hint="eastAsia" w:ascii="宋体" w:hAnsi="宋体" w:cs="宋体"/>
          <w:b/>
          <w:bCs/>
          <w:color w:val="000000" w:themeColor="text1"/>
          <w:sz w:val="28"/>
          <w:szCs w:val="28"/>
          <w14:textFill>
            <w14:solidFill>
              <w14:schemeClr w14:val="tx1"/>
            </w14:solidFill>
          </w14:textFill>
        </w:rPr>
        <w:t>金额以实际发生量为准。</w:t>
      </w:r>
    </w:p>
    <w:p>
      <w:pPr>
        <w:pStyle w:val="32"/>
        <w:ind w:firstLine="1119" w:firstLineChars="398"/>
        <w:jc w:val="left"/>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2、投标报价以固定折扣率为准，即投标报价为总预算金额×固定折扣率，不接受分项报价。</w:t>
      </w:r>
      <w:r>
        <w:rPr>
          <w:rFonts w:hint="eastAsia" w:ascii="宋体" w:hAnsi="宋体" w:cs="宋体"/>
          <w:b/>
          <w:bCs/>
          <w:color w:val="000000" w:themeColor="text1"/>
          <w:sz w:val="28"/>
          <w:szCs w:val="28"/>
          <w:lang w:val="en-US" w:eastAsia="zh-CN"/>
          <w14:textFill>
            <w14:solidFill>
              <w14:schemeClr w14:val="tx1"/>
            </w14:solidFill>
          </w14:textFill>
        </w:rPr>
        <w:t>例如报价折扣率为85%，则合同总金额为240000×0.85=204000元</w:t>
      </w:r>
    </w:p>
    <w:p>
      <w:pPr>
        <w:pStyle w:val="32"/>
        <w:jc w:val="left"/>
        <w:rPr>
          <w:rFonts w:ascii="宋体" w:hAnsi="宋体" w:cs="宋体"/>
          <w:b/>
          <w:bCs/>
          <w:color w:val="000000" w:themeColor="text1"/>
          <w:sz w:val="28"/>
          <w:szCs w:val="28"/>
          <w14:textFill>
            <w14:solidFill>
              <w14:schemeClr w14:val="tx1"/>
            </w14:solidFill>
          </w14:textFill>
        </w:rPr>
      </w:pPr>
    </w:p>
    <w:bookmarkEnd w:id="26"/>
    <w:bookmarkEnd w:id="28"/>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pStyle w:val="4"/>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Lines="50"/>
        <w:jc w:val="center"/>
        <w:rPr>
          <w:rFonts w:ascii="宋体" w:hAnsi="宋体"/>
          <w:b/>
          <w:color w:val="000000" w:themeColor="text1"/>
          <w:sz w:val="72"/>
          <w14:textFill>
            <w14:solidFill>
              <w14:schemeClr w14:val="tx1"/>
            </w14:solidFill>
          </w14:textFill>
        </w:rPr>
      </w:pPr>
    </w:p>
    <w:p>
      <w:pPr>
        <w:spacing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Lines="50" w:line="500" w:lineRule="exact"/>
        <w:jc w:val="center"/>
        <w:rPr>
          <w:rFonts w:ascii="宋体" w:hAnsi="宋体"/>
          <w:b/>
          <w:color w:val="000000" w:themeColor="text1"/>
          <w:sz w:val="72"/>
          <w14:textFill>
            <w14:solidFill>
              <w14:schemeClr w14:val="tx1"/>
            </w14:solidFill>
          </w14:textFill>
        </w:rPr>
      </w:pPr>
    </w:p>
    <w:p>
      <w:pPr>
        <w:spacing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69"/>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69"/>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docGrid w:type="lines" w:linePitch="312" w:charSpace="0"/>
        </w:sectPr>
      </w:pP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jc w:val="center"/>
        <w:rPr>
          <w:rFonts w:ascii="宋体" w:hAnsi="宋体" w:cs="宋体"/>
          <w:b/>
          <w:kern w:val="0"/>
          <w:sz w:val="24"/>
          <w:szCs w:val="24"/>
        </w:rPr>
      </w:pPr>
      <w:r>
        <w:rPr>
          <w:rFonts w:hint="eastAsia" w:ascii="宋体" w:hAnsi="宋体" w:cs="宋体"/>
          <w:b/>
          <w:kern w:val="0"/>
          <w:sz w:val="24"/>
          <w:szCs w:val="24"/>
        </w:rPr>
        <w:t>投标报价书</w:t>
      </w:r>
    </w:p>
    <w:p>
      <w:pPr>
        <w:pStyle w:val="32"/>
      </w:pPr>
    </w:p>
    <w:tbl>
      <w:tblPr>
        <w:tblStyle w:val="34"/>
        <w:tblW w:w="0" w:type="auto"/>
        <w:jc w:val="center"/>
        <w:tblLayout w:type="fixed"/>
        <w:tblCellMar>
          <w:top w:w="0" w:type="dxa"/>
          <w:left w:w="108" w:type="dxa"/>
          <w:bottom w:w="0" w:type="dxa"/>
          <w:right w:w="108" w:type="dxa"/>
        </w:tblCellMar>
      </w:tblPr>
      <w:tblGrid>
        <w:gridCol w:w="2410"/>
        <w:gridCol w:w="6112"/>
      </w:tblGrid>
      <w:tr>
        <w:tblPrEx>
          <w:tblCellMar>
            <w:top w:w="0" w:type="dxa"/>
            <w:left w:w="108" w:type="dxa"/>
            <w:bottom w:w="0" w:type="dxa"/>
            <w:right w:w="108" w:type="dxa"/>
          </w:tblCellMar>
        </w:tblPrEx>
        <w:trPr>
          <w:cantSplit/>
          <w:trHeight w:val="904"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投标人名称</w:t>
            </w:r>
          </w:p>
        </w:tc>
        <w:tc>
          <w:tcPr>
            <w:tcW w:w="6112" w:type="dxa"/>
            <w:tcBorders>
              <w:top w:val="single" w:color="auto" w:sz="4" w:space="0"/>
              <w:left w:val="nil"/>
              <w:bottom w:val="single" w:color="auto" w:sz="4" w:space="0"/>
              <w:right w:val="single" w:color="auto" w:sz="4" w:space="0"/>
            </w:tcBorders>
            <w:noWrap/>
          </w:tcPr>
          <w:p>
            <w:pPr>
              <w:snapToGrid w:val="0"/>
              <w:rPr>
                <w:rFonts w:ascii="宋体" w:hAnsi="宋体"/>
                <w:sz w:val="24"/>
                <w:szCs w:val="24"/>
              </w:rPr>
            </w:pPr>
          </w:p>
        </w:tc>
      </w:tr>
      <w:tr>
        <w:tblPrEx>
          <w:tblCellMar>
            <w:top w:w="0" w:type="dxa"/>
            <w:left w:w="108" w:type="dxa"/>
            <w:bottom w:w="0" w:type="dxa"/>
            <w:right w:w="108" w:type="dxa"/>
          </w:tblCellMar>
        </w:tblPrEx>
        <w:trPr>
          <w:cantSplit/>
          <w:trHeight w:val="951"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项目名称</w:t>
            </w:r>
          </w:p>
        </w:tc>
        <w:tc>
          <w:tcPr>
            <w:tcW w:w="6112" w:type="dxa"/>
            <w:tcBorders>
              <w:top w:val="single" w:color="auto" w:sz="4" w:space="0"/>
              <w:left w:val="nil"/>
              <w:bottom w:val="single" w:color="auto" w:sz="4" w:space="0"/>
              <w:right w:val="single" w:color="auto" w:sz="4" w:space="0"/>
            </w:tcBorders>
            <w:noWrap/>
            <w:vAlign w:val="center"/>
          </w:tcPr>
          <w:p>
            <w:pPr>
              <w:snapToGrid w:val="0"/>
              <w:jc w:val="center"/>
              <w:rPr>
                <w:rFonts w:ascii="宋体" w:hAnsi="宋体"/>
                <w:sz w:val="24"/>
                <w:szCs w:val="24"/>
              </w:rPr>
            </w:pPr>
          </w:p>
        </w:tc>
      </w:tr>
      <w:tr>
        <w:tblPrEx>
          <w:tblCellMar>
            <w:top w:w="0" w:type="dxa"/>
            <w:left w:w="108" w:type="dxa"/>
            <w:bottom w:w="0" w:type="dxa"/>
            <w:right w:w="108" w:type="dxa"/>
          </w:tblCellMar>
        </w:tblPrEx>
        <w:trPr>
          <w:cantSplit/>
          <w:trHeight w:val="1259"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投标报价</w:t>
            </w:r>
          </w:p>
          <w:p>
            <w:pPr>
              <w:snapToGrid w:val="0"/>
              <w:jc w:val="center"/>
              <w:rPr>
                <w:rFonts w:ascii="宋体" w:hAnsi="宋体"/>
                <w:sz w:val="24"/>
                <w:szCs w:val="24"/>
              </w:rPr>
            </w:pPr>
            <w:r>
              <w:rPr>
                <w:rFonts w:hint="eastAsia" w:ascii="宋体" w:hAnsi="宋体"/>
                <w:sz w:val="24"/>
                <w:szCs w:val="24"/>
              </w:rPr>
              <w:t>（固定折扣率）</w:t>
            </w:r>
          </w:p>
        </w:tc>
        <w:tc>
          <w:tcPr>
            <w:tcW w:w="6112" w:type="dxa"/>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sz w:val="24"/>
                <w:szCs w:val="24"/>
                <w:u w:val="single"/>
              </w:rPr>
            </w:pPr>
            <w:r>
              <w:rPr>
                <w:rFonts w:hint="eastAsia" w:ascii="宋体" w:hAnsi="宋体"/>
                <w:sz w:val="24"/>
                <w:szCs w:val="24"/>
              </w:rPr>
              <w:t>大写：百分之。</w:t>
            </w:r>
          </w:p>
          <w:p>
            <w:pPr>
              <w:snapToGrid w:val="0"/>
              <w:spacing w:line="360" w:lineRule="auto"/>
              <w:rPr>
                <w:rFonts w:ascii="宋体" w:hAnsi="宋体"/>
                <w:sz w:val="24"/>
                <w:szCs w:val="24"/>
                <w:u w:val="single"/>
              </w:rPr>
            </w:pPr>
            <w:r>
              <w:rPr>
                <w:rFonts w:hint="eastAsia" w:ascii="宋体" w:hAnsi="宋体"/>
                <w:sz w:val="24"/>
                <w:szCs w:val="24"/>
              </w:rPr>
              <w:t>小写：%</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是否响应付款方式</w:t>
            </w:r>
          </w:p>
        </w:tc>
        <w:tc>
          <w:tcPr>
            <w:tcW w:w="6112" w:type="dxa"/>
            <w:tcBorders>
              <w:top w:val="single" w:color="auto" w:sz="4" w:space="0"/>
              <w:left w:val="nil"/>
              <w:bottom w:val="single" w:color="auto" w:sz="4" w:space="0"/>
              <w:right w:val="single" w:color="auto" w:sz="4" w:space="0"/>
            </w:tcBorders>
            <w:noWrap/>
            <w:vAlign w:val="center"/>
          </w:tcPr>
          <w:p>
            <w:pPr>
              <w:snapToGrid w:val="0"/>
              <w:rPr>
                <w:rFonts w:ascii="宋体" w:hAnsi="宋体"/>
                <w:sz w:val="24"/>
                <w:szCs w:val="24"/>
              </w:rPr>
            </w:pPr>
            <w:r>
              <w:rPr>
                <w:rFonts w:hint="eastAsia" w:ascii="宋体" w:hAnsi="宋体"/>
                <w:sz w:val="24"/>
                <w:szCs w:val="24"/>
              </w:rPr>
              <w:t>是□    否□   （划√）</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是否响应供货周期</w:t>
            </w:r>
          </w:p>
        </w:tc>
        <w:tc>
          <w:tcPr>
            <w:tcW w:w="6112" w:type="dxa"/>
            <w:tcBorders>
              <w:top w:val="single" w:color="auto" w:sz="4" w:space="0"/>
              <w:left w:val="nil"/>
              <w:bottom w:val="single" w:color="auto" w:sz="4" w:space="0"/>
              <w:right w:val="single" w:color="auto" w:sz="4" w:space="0"/>
            </w:tcBorders>
            <w:noWrap/>
            <w:vAlign w:val="center"/>
          </w:tcPr>
          <w:p>
            <w:pPr>
              <w:snapToGrid w:val="0"/>
              <w:rPr>
                <w:rFonts w:ascii="宋体" w:hAnsi="宋体"/>
                <w:sz w:val="24"/>
                <w:szCs w:val="24"/>
              </w:rPr>
            </w:pPr>
            <w:r>
              <w:rPr>
                <w:rFonts w:hint="eastAsia" w:ascii="宋体" w:hAnsi="宋体"/>
                <w:sz w:val="24"/>
                <w:szCs w:val="24"/>
              </w:rPr>
              <w:t>是□    否□   （划√）</w:t>
            </w:r>
          </w:p>
        </w:tc>
      </w:tr>
      <w:tr>
        <w:tblPrEx>
          <w:tblCellMar>
            <w:top w:w="0" w:type="dxa"/>
            <w:left w:w="108" w:type="dxa"/>
            <w:bottom w:w="0" w:type="dxa"/>
            <w:right w:w="108" w:type="dxa"/>
          </w:tblCellMar>
        </w:tblPrEx>
        <w:trPr>
          <w:cantSplit/>
          <w:trHeight w:val="758"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tcPr>
          <w:p>
            <w:pPr>
              <w:snapToGrid w:val="0"/>
              <w:rPr>
                <w:rFonts w:ascii="宋体" w:hAnsi="宋体"/>
                <w:sz w:val="24"/>
                <w:szCs w:val="24"/>
              </w:rPr>
            </w:pPr>
            <w:r>
              <w:rPr>
                <w:rFonts w:hint="eastAsia" w:ascii="宋体" w:hAnsi="宋体"/>
                <w:sz w:val="24"/>
                <w:szCs w:val="24"/>
              </w:rPr>
              <w:t>其他说明：</w:t>
            </w:r>
          </w:p>
          <w:p>
            <w:pPr>
              <w:snapToGrid w:val="0"/>
              <w:rPr>
                <w:rFonts w:ascii="宋体" w:hAnsi="宋体"/>
                <w:sz w:val="24"/>
                <w:szCs w:val="24"/>
              </w:rPr>
            </w:pPr>
          </w:p>
          <w:p>
            <w:pPr>
              <w:snapToGrid w:val="0"/>
              <w:rPr>
                <w:rFonts w:ascii="宋体" w:hAnsi="宋体"/>
                <w:sz w:val="24"/>
                <w:szCs w:val="24"/>
              </w:rPr>
            </w:pPr>
          </w:p>
        </w:tc>
      </w:tr>
    </w:tbl>
    <w:p>
      <w:pPr>
        <w:rPr>
          <w:color w:val="000000" w:themeColor="text1"/>
          <w14:textFill>
            <w14:solidFill>
              <w14:schemeClr w14:val="tx1"/>
            </w14:solidFill>
          </w14:textFill>
        </w:rPr>
      </w:pPr>
    </w:p>
    <w:p>
      <w:pPr>
        <w:pStyle w:val="17"/>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投标供应商盖章：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r>
        <w:rPr>
          <w:rFonts w:hint="eastAsia" w:ascii="宋体" w:hAnsi="宋体"/>
          <w:color w:val="000000" w:themeColor="text1"/>
          <w:sz w:val="24"/>
          <w:szCs w:val="24"/>
          <w14:textFill>
            <w14:solidFill>
              <w14:schemeClr w14:val="tx1"/>
            </w14:solidFill>
          </w14:textFill>
        </w:rPr>
        <w:t>。</w:t>
      </w:r>
      <w:bookmarkStart w:id="31" w:name="_Toc21877"/>
    </w:p>
    <w:bookmarkEnd w:id="31"/>
    <w:p>
      <w:pPr>
        <w:pStyle w:val="32"/>
        <w:rPr>
          <w:color w:val="000000" w:themeColor="text1"/>
          <w14:textFill>
            <w14:solidFill>
              <w14:schemeClr w14:val="tx1"/>
            </w14:solidFill>
          </w14:textFill>
        </w:rPr>
        <w:sectPr>
          <w:pgSz w:w="11906" w:h="16838"/>
          <w:pgMar w:top="1383" w:right="1361" w:bottom="1440" w:left="1361" w:header="851" w:footer="992" w:gutter="0"/>
          <w:cols w:space="0" w:num="1"/>
          <w:docGrid w:type="lines" w:linePitch="312" w:charSpace="0"/>
        </w:sectPr>
      </w:pPr>
    </w:p>
    <w:p>
      <w:pPr>
        <w:pStyle w:val="4"/>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2"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2"/>
    </w:p>
    <w:p>
      <w:pPr>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（营业执照等相关企业证件）</w:t>
      </w:r>
    </w:p>
    <w:p>
      <w:pPr>
        <w:pStyle w:val="32"/>
        <w:ind w:firstLine="0"/>
        <w:rPr>
          <w:color w:val="000000" w:themeColor="text1"/>
          <w14:textFill>
            <w14:solidFill>
              <w14:schemeClr w14:val="tx1"/>
            </w14:solidFill>
          </w14:textFill>
        </w:rPr>
      </w:pPr>
    </w:p>
    <w:p>
      <w:pPr>
        <w:pStyle w:val="4"/>
        <w:wordWrap w:val="0"/>
        <w:spacing w:before="0" w:after="0" w:line="560" w:lineRule="exact"/>
        <w:rPr>
          <w:rFonts w:ascii="宋体" w:hAnsi="宋体" w:eastAsia="宋体" w:cs="宋体"/>
          <w:color w:val="000000" w:themeColor="text1"/>
          <w:sz w:val="24"/>
          <w:szCs w:val="24"/>
          <w14:textFill>
            <w14:solidFill>
              <w14:schemeClr w14:val="tx1"/>
            </w14:solidFill>
          </w14:textFill>
        </w:rPr>
      </w:pPr>
      <w:bookmarkStart w:id="33" w:name="_Toc13504"/>
    </w:p>
    <w:p>
      <w:pPr>
        <w:pStyle w:val="4"/>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3"/>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4" w:name="_Toc10696"/>
      <w:r>
        <w:rPr>
          <w:rFonts w:hint="eastAsia" w:ascii="宋体" w:hAnsi="宋体" w:eastAsia="宋体" w:cs="宋体"/>
          <w:color w:val="000000" w:themeColor="text1"/>
          <w:sz w:val="24"/>
          <w:szCs w:val="24"/>
          <w14:textFill>
            <w14:solidFill>
              <w14:schemeClr w14:val="tx1"/>
            </w14:solidFill>
          </w14:textFill>
        </w:rPr>
        <w:t>投标授权书</w:t>
      </w:r>
      <w:bookmarkEnd w:id="34"/>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本授权书声明：（投标人名称）的（法人代表姓名）授权（被授权人的姓名）为我方就编号项目投标活动的合法代理人，以我方名义全权处理与该项目投标、签订合同以及合同执行有关的一切事务。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p>
    <w:p>
      <w:pPr>
        <w:spacing w:line="360" w:lineRule="auto"/>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rPr>
          <w:color w:val="000000" w:themeColor="text1"/>
          <w14:textFill>
            <w14:solidFill>
              <w14:schemeClr w14:val="tx1"/>
            </w14:solidFill>
          </w14:textFill>
        </w:rPr>
      </w:pPr>
      <w:bookmarkStart w:id="35" w:name="_Toc16258"/>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5"/>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6" w:name="_Toc29263"/>
      <w:bookmarkStart w:id="37" w:name="_Toc417045478"/>
      <w:r>
        <w:rPr>
          <w:rFonts w:hint="eastAsia" w:ascii="宋体" w:hAnsi="宋体" w:eastAsia="宋体" w:cs="宋体"/>
          <w:color w:val="000000" w:themeColor="text1"/>
          <w:sz w:val="24"/>
          <w:szCs w:val="24"/>
          <w14:textFill>
            <w14:solidFill>
              <w14:schemeClr w14:val="tx1"/>
            </w14:solidFill>
          </w14:textFill>
        </w:rPr>
        <w:t>投标函</w:t>
      </w:r>
      <w:bookmarkEnd w:id="36"/>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致：XXX（采购人、采购代理机构名称）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1、根据项目编号：号谈判公告的内容，我方决定参加贵方组织的“”项目的竞争性谈判采购。我方授权(姓名)代表我方___（投标单位的名称）全权处理本项目投标的有关事宜。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4、我方同意按照采购文件的要求，向贵方递交投标保证金。并且承诺，在采购有效期内如果我方撤回响应文件或中标后拒绝签订合同，我方将放弃要求退还该投标保证金的权力。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38" w:name="_Toc18090"/>
      <w:r>
        <w:rPr>
          <w:rFonts w:hint="eastAsia" w:ascii="宋体" w:hAnsi="宋体" w:eastAsia="宋体" w:cs="宋体"/>
          <w:color w:val="000000" w:themeColor="text1"/>
          <w:sz w:val="24"/>
          <w:szCs w:val="24"/>
          <w14:textFill>
            <w14:solidFill>
              <w14:schemeClr w14:val="tx1"/>
            </w14:solidFill>
          </w14:textFill>
        </w:rPr>
        <w:t>附件</w:t>
      </w:r>
      <w:bookmarkEnd w:id="37"/>
      <w:r>
        <w:rPr>
          <w:rFonts w:hint="eastAsia" w:ascii="宋体" w:hAnsi="宋体" w:eastAsia="宋体" w:cs="宋体"/>
          <w:color w:val="000000" w:themeColor="text1"/>
          <w:sz w:val="24"/>
          <w:szCs w:val="24"/>
          <w14:textFill>
            <w14:solidFill>
              <w14:schemeClr w14:val="tx1"/>
            </w14:solidFill>
          </w14:textFill>
        </w:rPr>
        <w:t>五</w:t>
      </w:r>
      <w:bookmarkEnd w:id="38"/>
    </w:p>
    <w:p>
      <w:pPr>
        <w:pStyle w:val="4"/>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39"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39"/>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3、公司被市场监督管理部门列入企业经营异常名录；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0" w:name="_Toc363199274"/>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41" w:name="_Toc12443"/>
      <w:r>
        <w:rPr>
          <w:rFonts w:hint="eastAsia" w:ascii="宋体" w:hAnsi="宋体" w:eastAsia="宋体" w:cs="宋体"/>
          <w:color w:val="000000" w:themeColor="text1"/>
          <w:sz w:val="24"/>
          <w:szCs w:val="24"/>
          <w14:textFill>
            <w14:solidFill>
              <w14:schemeClr w14:val="tx1"/>
            </w14:solidFill>
          </w14:textFill>
        </w:rPr>
        <w:t>附件</w:t>
      </w:r>
      <w:bookmarkEnd w:id="40"/>
      <w:r>
        <w:rPr>
          <w:rFonts w:hint="eastAsia" w:ascii="宋体" w:hAnsi="宋体" w:eastAsia="宋体" w:cs="宋体"/>
          <w:color w:val="000000" w:themeColor="text1"/>
          <w:sz w:val="24"/>
          <w:szCs w:val="24"/>
          <w14:textFill>
            <w14:solidFill>
              <w14:schemeClr w14:val="tx1"/>
            </w14:solidFill>
          </w14:textFill>
        </w:rPr>
        <w:t>六</w:t>
      </w:r>
      <w:bookmarkEnd w:id="41"/>
    </w:p>
    <w:p>
      <w:pPr>
        <w:pStyle w:val="4"/>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2"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2"/>
    </w:p>
    <w:p>
      <w:pPr>
        <w:jc w:val="center"/>
        <w:rPr>
          <w:bCs/>
          <w:color w:val="000000" w:themeColor="text1"/>
          <w:sz w:val="24"/>
          <w:szCs w:val="24"/>
          <w:lang w:val="zh-CN"/>
          <w14:textFill>
            <w14:solidFill>
              <w14:schemeClr w14:val="tx1"/>
            </w14:solidFill>
          </w14:textFill>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3"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Lines="50" w:afterLines="50" w:line="360" w:lineRule="auto"/>
        <w:rPr>
          <w:rFonts w:ascii="宋体" w:hAnsi="宋体" w:cs="宋体"/>
          <w:color w:val="000000" w:themeColor="text1"/>
          <w:sz w:val="24"/>
          <w:szCs w:val="24"/>
          <w14:textFill>
            <w14:solidFill>
              <w14:schemeClr w14:val="tx1"/>
            </w14:solidFill>
          </w14:textFill>
        </w:rPr>
      </w:pPr>
    </w:p>
    <w:p>
      <w:pPr>
        <w:spacing w:beforeLines="50"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4"/>
        <w:spacing w:before="0" w:after="0" w:line="560" w:lineRule="exact"/>
        <w:rPr>
          <w:rFonts w:ascii="宋体" w:hAnsi="宋体" w:eastAsia="宋体" w:cs="宋体"/>
          <w:color w:val="000000" w:themeColor="text1"/>
          <w:sz w:val="24"/>
          <w:szCs w:val="24"/>
          <w14:textFill>
            <w14:solidFill>
              <w14:schemeClr w14:val="tx1"/>
            </w14:solidFill>
          </w14:textFill>
        </w:rPr>
      </w:pPr>
      <w:bookmarkStart w:id="44" w:name="_Toc13408"/>
      <w:r>
        <w:rPr>
          <w:rFonts w:hint="eastAsia" w:ascii="宋体" w:hAnsi="宋体" w:eastAsia="宋体" w:cs="宋体"/>
          <w:color w:val="000000" w:themeColor="text1"/>
          <w:sz w:val="24"/>
          <w:szCs w:val="24"/>
          <w14:textFill>
            <w14:solidFill>
              <w14:schemeClr w14:val="tx1"/>
            </w14:solidFill>
          </w14:textFill>
        </w:rPr>
        <w:t>附件</w:t>
      </w:r>
      <w:bookmarkEnd w:id="43"/>
      <w:r>
        <w:rPr>
          <w:rFonts w:hint="eastAsia" w:ascii="宋体" w:hAnsi="宋体" w:eastAsia="宋体" w:cs="宋体"/>
          <w:color w:val="000000" w:themeColor="text1"/>
          <w:sz w:val="24"/>
          <w:szCs w:val="24"/>
          <w14:textFill>
            <w14:solidFill>
              <w14:schemeClr w14:val="tx1"/>
            </w14:solidFill>
          </w14:textFill>
        </w:rPr>
        <w:t>七</w:t>
      </w:r>
      <w:bookmarkEnd w:id="44"/>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5"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5"/>
    </w:p>
    <w:p>
      <w:pPr>
        <w:jc w:val="center"/>
        <w:rPr>
          <w:rFonts w:ascii="宋体" w:hAnsi="宋体"/>
          <w:color w:val="000000" w:themeColor="text1"/>
          <w:sz w:val="24"/>
          <w:szCs w:val="28"/>
          <w14:textFill>
            <w14:solidFill>
              <w14:schemeClr w14:val="tx1"/>
            </w14:solidFill>
          </w14:textFill>
        </w:rPr>
      </w:pPr>
    </w:p>
    <w:p>
      <w:pPr>
        <w:jc w:val="center"/>
        <w:rPr>
          <w:color w:val="000000" w:themeColor="text1"/>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rPr>
          <w:rFonts w:ascii="宋体" w:hAnsi="宋体" w:cs="宋体"/>
          <w:b/>
          <w:color w:val="000000" w:themeColor="text1"/>
          <w:kern w:val="0"/>
          <w:sz w:val="24"/>
          <w:szCs w:val="24"/>
          <w14:textFill>
            <w14:solidFill>
              <w14:schemeClr w14:val="tx1"/>
            </w14:solidFill>
          </w14:textFill>
        </w:rPr>
      </w:pPr>
      <w:bookmarkStart w:id="46" w:name="_Toc10828"/>
      <w:r>
        <w:rPr>
          <w:rFonts w:hint="eastAsia" w:ascii="宋体" w:hAnsi="宋体" w:cs="宋体"/>
          <w:b/>
          <w:color w:val="000000" w:themeColor="text1"/>
          <w:kern w:val="0"/>
          <w:sz w:val="24"/>
          <w:szCs w:val="24"/>
          <w14:textFill>
            <w14:solidFill>
              <w14:schemeClr w14:val="tx1"/>
            </w14:solidFill>
          </w14:textFill>
        </w:rPr>
        <w:t>附件</w:t>
      </w:r>
      <w:bookmarkEnd w:id="46"/>
      <w:r>
        <w:rPr>
          <w:rFonts w:hint="eastAsia" w:ascii="宋体" w:hAnsi="宋体" w:cs="宋体"/>
          <w:b/>
          <w:color w:val="000000" w:themeColor="text1"/>
          <w:kern w:val="0"/>
          <w:sz w:val="24"/>
          <w:szCs w:val="24"/>
          <w14:textFill>
            <w14:solidFill>
              <w14:schemeClr w14:val="tx1"/>
            </w14:solidFill>
          </w14:textFill>
        </w:rPr>
        <w:t>八</w:t>
      </w:r>
    </w:p>
    <w:p>
      <w:pPr>
        <w:rPr>
          <w:color w:val="000000" w:themeColor="text1"/>
          <w14:textFill>
            <w14:solidFill>
              <w14:schemeClr w14:val="tx1"/>
            </w14:solidFill>
          </w14:textFill>
        </w:rPr>
      </w:pPr>
    </w:p>
    <w:p>
      <w:pPr>
        <w:pStyle w:val="4"/>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7"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7"/>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p>
    <w:p>
      <w:pPr>
        <w:pStyle w:val="4"/>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lang w:eastAsia="zh-CN"/>
        </w:rPr>
      </w:pPr>
      <w:r>
        <w:rPr>
          <w:rFonts w:hint="eastAsia" w:ascii="黑体" w:hAnsi="黑体" w:eastAsia="黑体"/>
          <w:sz w:val="36"/>
          <w:szCs w:val="36"/>
        </w:rPr>
        <w:t>皖西卫生职业学院附属医院</w:t>
      </w:r>
      <w:r>
        <w:rPr>
          <w:rFonts w:hint="eastAsia" w:ascii="黑体" w:hAnsi="黑体" w:eastAsia="黑体"/>
          <w:sz w:val="36"/>
          <w:szCs w:val="36"/>
          <w:lang w:eastAsia="zh-CN"/>
        </w:rPr>
        <w:t>不锈钢制品采购项目（三次）</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rPr>
        <w:t>竞争性谈判（  ）轮报价表</w:t>
      </w:r>
    </w:p>
    <w:p>
      <w:pPr>
        <w:spacing w:line="80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皖西卫生职业学院附属医院 (</w:t>
      </w:r>
      <w:r>
        <w:rPr>
          <w:rFonts w:hint="eastAsia" w:ascii="宋体" w:hAnsi="宋体"/>
          <w:sz w:val="28"/>
          <w:szCs w:val="28"/>
        </w:rPr>
        <w:t>采购人)</w:t>
      </w:r>
    </w:p>
    <w:p>
      <w:pPr>
        <w:numPr>
          <w:ilvl w:val="0"/>
          <w:numId w:val="4"/>
        </w:numPr>
        <w:spacing w:line="800" w:lineRule="exact"/>
        <w:ind w:firstLine="560" w:firstLineChars="200"/>
        <w:rPr>
          <w:rFonts w:ascii="宋体" w:hAnsi="宋体"/>
          <w:sz w:val="28"/>
          <w:szCs w:val="28"/>
        </w:rPr>
      </w:pPr>
      <w:r>
        <w:rPr>
          <w:rFonts w:hint="eastAsia" w:ascii="宋体" w:hAnsi="宋体"/>
          <w:sz w:val="28"/>
          <w:szCs w:val="28"/>
        </w:rPr>
        <w:t>我单位愿在第一次谈判报价的基础上再次让利，让利后固定折扣率为百分之</w:t>
      </w:r>
      <w:r>
        <w:rPr>
          <w:rFonts w:hint="eastAsia" w:ascii="宋体" w:hAnsi="宋体"/>
          <w:sz w:val="28"/>
          <w:szCs w:val="28"/>
          <w:u w:val="single"/>
        </w:rPr>
        <w:t xml:space="preserve">          </w:t>
      </w:r>
      <w:r>
        <w:rPr>
          <w:rFonts w:hint="eastAsia" w:ascii="宋体" w:hAnsi="宋体"/>
          <w:sz w:val="28"/>
          <w:szCs w:val="28"/>
        </w:rPr>
        <w:t>（大写）元（</w:t>
      </w:r>
      <w:r>
        <w:rPr>
          <w:rFonts w:hint="eastAsia" w:ascii="宋体" w:hAnsi="宋体"/>
          <w:sz w:val="28"/>
          <w:szCs w:val="28"/>
          <w:u w:val="single"/>
        </w:rPr>
        <w:t xml:space="preserve">       </w:t>
      </w:r>
      <w:r>
        <w:rPr>
          <w:rFonts w:hint="eastAsia" w:ascii="宋体" w:hAnsi="宋体"/>
          <w:sz w:val="28"/>
          <w:szCs w:val="28"/>
        </w:rPr>
        <w:t>%（小写））。如果我单位有幸成为成交人，我单位将以（  ）轮报价完成本次采购的全部工作，供货期间不再调整。</w:t>
      </w:r>
    </w:p>
    <w:p>
      <w:pPr>
        <w:spacing w:line="800" w:lineRule="exact"/>
        <w:ind w:firstLine="560" w:firstLineChars="200"/>
        <w:rPr>
          <w:rFonts w:ascii="宋体" w:hAnsi="宋体"/>
          <w:sz w:val="28"/>
          <w:szCs w:val="28"/>
        </w:rPr>
      </w:pPr>
      <w:r>
        <w:rPr>
          <w:rFonts w:hint="eastAsia" w:ascii="宋体" w:hAnsi="宋体"/>
          <w:sz w:val="28"/>
          <w:szCs w:val="28"/>
        </w:rPr>
        <w:t>2、其他部分与响应性文件内容一致。</w:t>
      </w:r>
    </w:p>
    <w:p>
      <w:pPr>
        <w:spacing w:line="800" w:lineRule="exact"/>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spacing w:line="800" w:lineRule="exact"/>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（签字或盖章）</w:t>
      </w:r>
    </w:p>
    <w:p>
      <w:pPr>
        <w:wordWrap w:val="0"/>
        <w:spacing w:line="800" w:lineRule="exact"/>
        <w:ind w:right="280"/>
        <w:jc w:val="right"/>
      </w:pPr>
      <w:r>
        <w:rPr>
          <w:rFonts w:hint="eastAsia" w:ascii="宋体" w:hAnsi="宋体"/>
          <w:sz w:val="28"/>
          <w:szCs w:val="28"/>
        </w:rPr>
        <w:t>日期：   年   月   日</w:t>
      </w:r>
    </w:p>
    <w:p>
      <w:pPr>
        <w:spacing w:line="800" w:lineRule="exact"/>
        <w:jc w:val="left"/>
        <w:rPr>
          <w:rFonts w:ascii="宋体" w:hAnsi="宋体"/>
          <w:b/>
          <w:color w:val="000000" w:themeColor="text1"/>
          <w14:textFill>
            <w14:solidFill>
              <w14:schemeClr w14:val="tx1"/>
            </w14:solidFill>
          </w14:textFill>
        </w:rPr>
      </w:pPr>
    </w:p>
    <w:p>
      <w:pPr>
        <w:spacing w:line="800" w:lineRule="exact"/>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（注：各供应商单独备足空白“报价表”并加盖单位公章，用于后续报价时填写，请供应商自行准备多份，用于后续报价）。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17</w:t>
    </w:r>
    <w:r>
      <w:rPr>
        <w:rStyle w:val="38"/>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23</w:t>
    </w:r>
    <w:r>
      <w:rPr>
        <w:rStyle w:val="38"/>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3F"/>
    <w:rsid w:val="00316EFF"/>
    <w:rsid w:val="003342EF"/>
    <w:rsid w:val="00341CB0"/>
    <w:rsid w:val="003452C5"/>
    <w:rsid w:val="003808D6"/>
    <w:rsid w:val="003A03AB"/>
    <w:rsid w:val="003E0B3C"/>
    <w:rsid w:val="003E7C3B"/>
    <w:rsid w:val="003F35D7"/>
    <w:rsid w:val="00424DA5"/>
    <w:rsid w:val="004413B4"/>
    <w:rsid w:val="00453F7D"/>
    <w:rsid w:val="004C64FF"/>
    <w:rsid w:val="004D1C1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81C38"/>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003AFF"/>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9211F2"/>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9539C"/>
    <w:rsid w:val="0A075B36"/>
    <w:rsid w:val="0A0C2CED"/>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A0009"/>
    <w:rsid w:val="1FB614C4"/>
    <w:rsid w:val="1FBC32F5"/>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696CB3"/>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8D1222"/>
    <w:rsid w:val="38995298"/>
    <w:rsid w:val="38EF1B2A"/>
    <w:rsid w:val="38F52AFD"/>
    <w:rsid w:val="392456E2"/>
    <w:rsid w:val="3942200C"/>
    <w:rsid w:val="39561614"/>
    <w:rsid w:val="395F2BAD"/>
    <w:rsid w:val="39663F4D"/>
    <w:rsid w:val="397E2198"/>
    <w:rsid w:val="398C073A"/>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74C91"/>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B61EA1"/>
    <w:rsid w:val="43DC2322"/>
    <w:rsid w:val="43EE6D25"/>
    <w:rsid w:val="44034ADD"/>
    <w:rsid w:val="441B13DA"/>
    <w:rsid w:val="4438779A"/>
    <w:rsid w:val="446A21F8"/>
    <w:rsid w:val="44C21EC4"/>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337BA0"/>
    <w:rsid w:val="4A45195C"/>
    <w:rsid w:val="4A595408"/>
    <w:rsid w:val="4A600368"/>
    <w:rsid w:val="4A7A7C93"/>
    <w:rsid w:val="4B140ABE"/>
    <w:rsid w:val="4B277AF6"/>
    <w:rsid w:val="4B291422"/>
    <w:rsid w:val="4B2C120C"/>
    <w:rsid w:val="4B810772"/>
    <w:rsid w:val="4B8A4ACB"/>
    <w:rsid w:val="4BA10E14"/>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D62D3F"/>
    <w:rsid w:val="4CE02DC4"/>
    <w:rsid w:val="4D1A70D0"/>
    <w:rsid w:val="4D243557"/>
    <w:rsid w:val="4D470184"/>
    <w:rsid w:val="4D4806CA"/>
    <w:rsid w:val="4D4904DE"/>
    <w:rsid w:val="4D714797"/>
    <w:rsid w:val="4D7221B5"/>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6A778C"/>
    <w:rsid w:val="5E6D591C"/>
    <w:rsid w:val="5E70036E"/>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C778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DC47CF"/>
    <w:rsid w:val="6FEA0014"/>
    <w:rsid w:val="702B2ACC"/>
    <w:rsid w:val="70476D4A"/>
    <w:rsid w:val="70814BED"/>
    <w:rsid w:val="70860455"/>
    <w:rsid w:val="70886438"/>
    <w:rsid w:val="7093151A"/>
    <w:rsid w:val="70B75F0D"/>
    <w:rsid w:val="70C920F0"/>
    <w:rsid w:val="70E62D7F"/>
    <w:rsid w:val="70F47F12"/>
    <w:rsid w:val="70FE448F"/>
    <w:rsid w:val="711461F7"/>
    <w:rsid w:val="714D4C96"/>
    <w:rsid w:val="71744377"/>
    <w:rsid w:val="717B788E"/>
    <w:rsid w:val="71C73000"/>
    <w:rsid w:val="71EC4F59"/>
    <w:rsid w:val="720E277F"/>
    <w:rsid w:val="721756F7"/>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1F4DA7"/>
    <w:rsid w:val="75357C70"/>
    <w:rsid w:val="756B3B66"/>
    <w:rsid w:val="756E3431"/>
    <w:rsid w:val="757F1917"/>
    <w:rsid w:val="75A373CB"/>
    <w:rsid w:val="75B42864"/>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172DB"/>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900F17"/>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272E"/>
    <w:rsid w:val="7D1E6A55"/>
    <w:rsid w:val="7D2171FC"/>
    <w:rsid w:val="7D564A77"/>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4"/>
    <w:autoRedefine/>
    <w:qFormat/>
    <w:uiPriority w:val="0"/>
    <w:pPr>
      <w:keepNext/>
      <w:outlineLvl w:val="0"/>
    </w:pPr>
    <w:rPr>
      <w:sz w:val="28"/>
      <w:szCs w:val="24"/>
    </w:rPr>
  </w:style>
  <w:style w:type="paragraph" w:styleId="4">
    <w:name w:val="heading 2"/>
    <w:basedOn w:val="1"/>
    <w:next w:val="1"/>
    <w:link w:val="55"/>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56"/>
    <w:autoRedefine/>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57"/>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70"/>
    <w:autoRedefine/>
    <w:qFormat/>
    <w:uiPriority w:val="0"/>
    <w:pPr>
      <w:spacing w:after="120"/>
    </w:pPr>
    <w:rPr>
      <w:szCs w:val="24"/>
    </w:rPr>
  </w:style>
  <w:style w:type="paragraph" w:styleId="7">
    <w:name w:val="toc 7"/>
    <w:basedOn w:val="1"/>
    <w:next w:val="1"/>
    <w:autoRedefine/>
    <w:qFormat/>
    <w:uiPriority w:val="0"/>
    <w:pPr>
      <w:ind w:left="2520" w:leftChars="1200"/>
    </w:pPr>
  </w:style>
  <w:style w:type="paragraph" w:styleId="8">
    <w:name w:val="Normal Indent"/>
    <w:basedOn w:val="1"/>
    <w:autoRedefine/>
    <w:qFormat/>
    <w:uiPriority w:val="0"/>
    <w:pPr>
      <w:spacing w:before="60"/>
      <w:ind w:firstLine="420" w:firstLineChars="200"/>
    </w:pPr>
    <w:rPr>
      <w:szCs w:val="24"/>
    </w:rPr>
  </w:style>
  <w:style w:type="paragraph" w:styleId="9">
    <w:name w:val="Document Map"/>
    <w:basedOn w:val="1"/>
    <w:link w:val="81"/>
    <w:autoRedefine/>
    <w:qFormat/>
    <w:uiPriority w:val="0"/>
    <w:pPr>
      <w:shd w:val="clear" w:color="auto" w:fill="000080"/>
    </w:pPr>
  </w:style>
  <w:style w:type="paragraph" w:styleId="10">
    <w:name w:val="annotation text"/>
    <w:basedOn w:val="1"/>
    <w:link w:val="75"/>
    <w:autoRedefine/>
    <w:semiHidden/>
    <w:qFormat/>
    <w:uiPriority w:val="99"/>
    <w:pPr>
      <w:jc w:val="left"/>
    </w:pPr>
  </w:style>
  <w:style w:type="paragraph" w:styleId="11">
    <w:name w:val="Body Text 3"/>
    <w:basedOn w:val="1"/>
    <w:link w:val="95"/>
    <w:autoRedefine/>
    <w:unhideWhenUsed/>
    <w:qFormat/>
    <w:uiPriority w:val="99"/>
    <w:pPr>
      <w:spacing w:after="120"/>
    </w:pPr>
    <w:rPr>
      <w:rFonts w:ascii="Calibri" w:hAnsi="Calibri"/>
      <w:sz w:val="16"/>
      <w:szCs w:val="16"/>
      <w:lang w:val="zh-CN"/>
    </w:rPr>
  </w:style>
  <w:style w:type="paragraph" w:styleId="12">
    <w:name w:val="Body Text Indent"/>
    <w:basedOn w:val="1"/>
    <w:link w:val="59"/>
    <w:autoRedefine/>
    <w:qFormat/>
    <w:uiPriority w:val="0"/>
    <w:pPr>
      <w:ind w:firstLine="540"/>
    </w:pPr>
    <w:rPr>
      <w:rFonts w:eastAsia="仿宋_GB2312"/>
      <w:sz w:val="28"/>
    </w:rPr>
  </w:style>
  <w:style w:type="paragraph" w:styleId="13">
    <w:name w:val="toc 5"/>
    <w:basedOn w:val="1"/>
    <w:next w:val="1"/>
    <w:autoRedefine/>
    <w:qFormat/>
    <w:uiPriority w:val="0"/>
    <w:pPr>
      <w:ind w:left="1680" w:leftChars="800"/>
    </w:pPr>
  </w:style>
  <w:style w:type="paragraph" w:styleId="14">
    <w:name w:val="toc 3"/>
    <w:basedOn w:val="1"/>
    <w:next w:val="1"/>
    <w:autoRedefine/>
    <w:qFormat/>
    <w:uiPriority w:val="39"/>
    <w:pPr>
      <w:ind w:left="840" w:leftChars="400"/>
    </w:pPr>
  </w:style>
  <w:style w:type="paragraph" w:styleId="15">
    <w:name w:val="Plain Text"/>
    <w:basedOn w:val="1"/>
    <w:link w:val="78"/>
    <w:autoRedefine/>
    <w:qFormat/>
    <w:uiPriority w:val="0"/>
    <w:rPr>
      <w:rFonts w:ascii="宋体" w:hAnsi="Courier New" w:cstheme="minorBidi"/>
      <w:szCs w:val="22"/>
    </w:rPr>
  </w:style>
  <w:style w:type="paragraph" w:styleId="16">
    <w:name w:val="toc 8"/>
    <w:basedOn w:val="1"/>
    <w:next w:val="1"/>
    <w:autoRedefine/>
    <w:qFormat/>
    <w:uiPriority w:val="0"/>
    <w:pPr>
      <w:ind w:left="2940" w:leftChars="1400"/>
    </w:pPr>
  </w:style>
  <w:style w:type="paragraph" w:styleId="17">
    <w:name w:val="Date"/>
    <w:basedOn w:val="1"/>
    <w:next w:val="1"/>
    <w:link w:val="58"/>
    <w:autoRedefine/>
    <w:qFormat/>
    <w:uiPriority w:val="0"/>
    <w:rPr>
      <w:rFonts w:ascii="Arial" w:hAnsi="Arial" w:eastAsia="楷体_GB2312"/>
      <w:sz w:val="28"/>
    </w:rPr>
  </w:style>
  <w:style w:type="paragraph" w:styleId="18">
    <w:name w:val="Body Text Indent 2"/>
    <w:basedOn w:val="1"/>
    <w:link w:val="61"/>
    <w:autoRedefine/>
    <w:qFormat/>
    <w:uiPriority w:val="0"/>
    <w:pPr>
      <w:tabs>
        <w:tab w:val="left" w:pos="720"/>
      </w:tabs>
      <w:ind w:right="-506" w:rightChars="-241" w:firstLine="538" w:firstLineChars="192"/>
    </w:pPr>
    <w:rPr>
      <w:rFonts w:eastAsia="仿宋_GB2312"/>
      <w:sz w:val="28"/>
    </w:rPr>
  </w:style>
  <w:style w:type="paragraph" w:styleId="19">
    <w:name w:val="Balloon Text"/>
    <w:basedOn w:val="1"/>
    <w:link w:val="72"/>
    <w:autoRedefine/>
    <w:qFormat/>
    <w:uiPriority w:val="0"/>
    <w:rPr>
      <w:sz w:val="18"/>
      <w:szCs w:val="18"/>
    </w:rPr>
  </w:style>
  <w:style w:type="paragraph" w:styleId="20">
    <w:name w:val="footer"/>
    <w:basedOn w:val="1"/>
    <w:link w:val="53"/>
    <w:autoRedefine/>
    <w:unhideWhenUsed/>
    <w:qFormat/>
    <w:uiPriority w:val="0"/>
    <w:pPr>
      <w:tabs>
        <w:tab w:val="center" w:pos="4153"/>
        <w:tab w:val="right" w:pos="8306"/>
      </w:tabs>
      <w:snapToGrid w:val="0"/>
      <w:jc w:val="left"/>
    </w:pPr>
    <w:rPr>
      <w:sz w:val="18"/>
      <w:szCs w:val="18"/>
    </w:rPr>
  </w:style>
  <w:style w:type="paragraph" w:styleId="21">
    <w:name w:val="header"/>
    <w:basedOn w:val="1"/>
    <w:link w:val="5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style>
  <w:style w:type="paragraph" w:styleId="23">
    <w:name w:val="toc 4"/>
    <w:basedOn w:val="1"/>
    <w:next w:val="1"/>
    <w:autoRedefine/>
    <w:qFormat/>
    <w:uiPriority w:val="0"/>
    <w:pPr>
      <w:ind w:left="1260" w:leftChars="600"/>
    </w:pPr>
  </w:style>
  <w:style w:type="paragraph" w:styleId="24">
    <w:name w:val="toc 6"/>
    <w:basedOn w:val="1"/>
    <w:next w:val="1"/>
    <w:autoRedefine/>
    <w:qFormat/>
    <w:uiPriority w:val="0"/>
    <w:pPr>
      <w:ind w:left="2100" w:leftChars="1000"/>
    </w:pPr>
  </w:style>
  <w:style w:type="paragraph" w:styleId="25">
    <w:name w:val="Body Text Indent 3"/>
    <w:basedOn w:val="1"/>
    <w:link w:val="67"/>
    <w:autoRedefine/>
    <w:qFormat/>
    <w:uiPriority w:val="0"/>
    <w:pPr>
      <w:ind w:left="178" w:leftChars="85" w:firstLine="560" w:firstLineChars="200"/>
    </w:pPr>
    <w:rPr>
      <w:rFonts w:ascii="仿宋_GB2312" w:hAnsi="Arial" w:eastAsia="仿宋_GB2312"/>
      <w:sz w:val="28"/>
      <w:szCs w:val="24"/>
    </w:rPr>
  </w:style>
  <w:style w:type="paragraph" w:styleId="26">
    <w:name w:val="toc 2"/>
    <w:basedOn w:val="1"/>
    <w:next w:val="1"/>
    <w:autoRedefine/>
    <w:qFormat/>
    <w:uiPriority w:val="39"/>
    <w:pPr>
      <w:ind w:left="420" w:leftChars="200"/>
    </w:pPr>
  </w:style>
  <w:style w:type="paragraph" w:styleId="27">
    <w:name w:val="toc 9"/>
    <w:basedOn w:val="1"/>
    <w:next w:val="1"/>
    <w:autoRedefine/>
    <w:qFormat/>
    <w:uiPriority w:val="0"/>
    <w:pPr>
      <w:ind w:left="3360" w:leftChars="1600"/>
    </w:pPr>
  </w:style>
  <w:style w:type="paragraph" w:styleId="28">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autoRedefine/>
    <w:unhideWhenUsed/>
    <w:qFormat/>
    <w:uiPriority w:val="99"/>
    <w:pPr>
      <w:jc w:val="left"/>
    </w:pPr>
    <w:rPr>
      <w:kern w:val="0"/>
      <w:sz w:val="24"/>
    </w:rPr>
  </w:style>
  <w:style w:type="paragraph" w:styleId="30">
    <w:name w:val="index 1"/>
    <w:basedOn w:val="1"/>
    <w:next w:val="1"/>
    <w:autoRedefine/>
    <w:semiHidden/>
    <w:qFormat/>
    <w:uiPriority w:val="0"/>
    <w:pPr>
      <w:jc w:val="center"/>
    </w:pPr>
    <w:rPr>
      <w:rFonts w:ascii="仿宋_GB2312" w:eastAsia="仿宋_GB2312"/>
      <w:b/>
      <w:bCs/>
      <w:sz w:val="28"/>
    </w:rPr>
  </w:style>
  <w:style w:type="paragraph" w:styleId="31">
    <w:name w:val="annotation subject"/>
    <w:basedOn w:val="10"/>
    <w:next w:val="10"/>
    <w:link w:val="76"/>
    <w:autoRedefine/>
    <w:semiHidden/>
    <w:qFormat/>
    <w:uiPriority w:val="99"/>
    <w:rPr>
      <w:b/>
      <w:bCs/>
    </w:rPr>
  </w:style>
  <w:style w:type="paragraph" w:styleId="32">
    <w:name w:val="Body Text First Indent"/>
    <w:basedOn w:val="2"/>
    <w:autoRedefine/>
    <w:unhideWhenUsed/>
    <w:qFormat/>
    <w:uiPriority w:val="99"/>
    <w:pPr>
      <w:spacing w:line="400" w:lineRule="atLeast"/>
      <w:ind w:firstLine="426"/>
    </w:pPr>
    <w:rPr>
      <w:sz w:val="24"/>
      <w:szCs w:val="20"/>
    </w:rPr>
  </w:style>
  <w:style w:type="paragraph" w:styleId="33">
    <w:name w:val="Body Text First Indent 2"/>
    <w:basedOn w:val="12"/>
    <w:link w:val="104"/>
    <w:autoRedefine/>
    <w:semiHidden/>
    <w:unhideWhenUsed/>
    <w:qFormat/>
    <w:uiPriority w:val="99"/>
    <w:pPr>
      <w:spacing w:after="120"/>
      <w:ind w:left="420" w:leftChars="200" w:firstLine="420" w:firstLineChars="200"/>
    </w:pPr>
    <w:rPr>
      <w:rFonts w:eastAsia="宋体"/>
      <w:sz w:val="21"/>
    </w:rPr>
  </w:style>
  <w:style w:type="table" w:styleId="35">
    <w:name w:val="Table Grid"/>
    <w:basedOn w:val="3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autoRedefine/>
    <w:qFormat/>
    <w:uiPriority w:val="0"/>
    <w:rPr>
      <w:b/>
    </w:rPr>
  </w:style>
  <w:style w:type="character" w:styleId="38">
    <w:name w:val="page number"/>
    <w:basedOn w:val="36"/>
    <w:autoRedefine/>
    <w:qFormat/>
    <w:uiPriority w:val="0"/>
  </w:style>
  <w:style w:type="character" w:styleId="39">
    <w:name w:val="FollowedHyperlink"/>
    <w:basedOn w:val="36"/>
    <w:autoRedefine/>
    <w:unhideWhenUsed/>
    <w:qFormat/>
    <w:uiPriority w:val="99"/>
    <w:rPr>
      <w:color w:val="954F72" w:themeColor="followedHyperlink"/>
      <w:u w:val="single"/>
      <w14:textFill>
        <w14:solidFill>
          <w14:schemeClr w14:val="folHlink"/>
        </w14:solidFill>
      </w14:textFill>
    </w:rPr>
  </w:style>
  <w:style w:type="character" w:styleId="40">
    <w:name w:val="HTML Definition"/>
    <w:basedOn w:val="36"/>
    <w:autoRedefine/>
    <w:semiHidden/>
    <w:unhideWhenUsed/>
    <w:qFormat/>
    <w:uiPriority w:val="99"/>
  </w:style>
  <w:style w:type="character" w:styleId="41">
    <w:name w:val="HTML Typewriter"/>
    <w:basedOn w:val="36"/>
    <w:autoRedefine/>
    <w:semiHidden/>
    <w:unhideWhenUsed/>
    <w:qFormat/>
    <w:uiPriority w:val="99"/>
    <w:rPr>
      <w:rFonts w:hint="default" w:ascii="monospace" w:hAnsi="monospace" w:eastAsia="monospace" w:cs="monospace"/>
      <w:sz w:val="20"/>
    </w:rPr>
  </w:style>
  <w:style w:type="character" w:styleId="42">
    <w:name w:val="HTML Acronym"/>
    <w:basedOn w:val="36"/>
    <w:autoRedefine/>
    <w:semiHidden/>
    <w:unhideWhenUsed/>
    <w:qFormat/>
    <w:uiPriority w:val="99"/>
  </w:style>
  <w:style w:type="character" w:styleId="43">
    <w:name w:val="HTML Variable"/>
    <w:basedOn w:val="36"/>
    <w:autoRedefine/>
    <w:semiHidden/>
    <w:unhideWhenUsed/>
    <w:qFormat/>
    <w:uiPriority w:val="99"/>
  </w:style>
  <w:style w:type="character" w:styleId="44">
    <w:name w:val="Hyperlink"/>
    <w:autoRedefine/>
    <w:qFormat/>
    <w:uiPriority w:val="99"/>
    <w:rPr>
      <w:color w:val="0000FF"/>
      <w:u w:val="single"/>
    </w:rPr>
  </w:style>
  <w:style w:type="character" w:styleId="45">
    <w:name w:val="HTML Code"/>
    <w:basedOn w:val="36"/>
    <w:autoRedefine/>
    <w:semiHidden/>
    <w:unhideWhenUsed/>
    <w:qFormat/>
    <w:uiPriority w:val="99"/>
    <w:rPr>
      <w:rFonts w:hint="default" w:ascii="monospace" w:hAnsi="monospace" w:eastAsia="monospace" w:cs="monospace"/>
      <w:sz w:val="20"/>
    </w:rPr>
  </w:style>
  <w:style w:type="character" w:styleId="46">
    <w:name w:val="annotation reference"/>
    <w:autoRedefine/>
    <w:semiHidden/>
    <w:qFormat/>
    <w:uiPriority w:val="99"/>
    <w:rPr>
      <w:sz w:val="21"/>
      <w:szCs w:val="21"/>
    </w:rPr>
  </w:style>
  <w:style w:type="character" w:styleId="47">
    <w:name w:val="HTML Cite"/>
    <w:basedOn w:val="36"/>
    <w:autoRedefine/>
    <w:semiHidden/>
    <w:unhideWhenUsed/>
    <w:qFormat/>
    <w:uiPriority w:val="99"/>
  </w:style>
  <w:style w:type="character" w:styleId="48">
    <w:name w:val="HTML Keyboard"/>
    <w:basedOn w:val="36"/>
    <w:autoRedefine/>
    <w:semiHidden/>
    <w:unhideWhenUsed/>
    <w:qFormat/>
    <w:uiPriority w:val="99"/>
    <w:rPr>
      <w:rFonts w:hint="default" w:ascii="monospace" w:hAnsi="monospace" w:eastAsia="monospace" w:cs="monospace"/>
      <w:sz w:val="20"/>
    </w:rPr>
  </w:style>
  <w:style w:type="character" w:styleId="49">
    <w:name w:val="HTML Sample"/>
    <w:basedOn w:val="36"/>
    <w:autoRedefine/>
    <w:semiHidden/>
    <w:unhideWhenUsed/>
    <w:qFormat/>
    <w:uiPriority w:val="99"/>
    <w:rPr>
      <w:rFonts w:ascii="monospace" w:hAnsi="monospace" w:eastAsia="monospace" w:cs="monospace"/>
    </w:rPr>
  </w:style>
  <w:style w:type="paragraph" w:customStyle="1" w:styleId="50">
    <w:name w:val="无间隔1"/>
    <w:basedOn w:val="1"/>
    <w:autoRedefine/>
    <w:qFormat/>
    <w:uiPriority w:val="1"/>
    <w:pPr>
      <w:spacing w:line="400" w:lineRule="exact"/>
    </w:pPr>
    <w:rPr>
      <w:sz w:val="24"/>
    </w:rPr>
  </w:style>
  <w:style w:type="paragraph" w:customStyle="1" w:styleId="51">
    <w:name w:val="列出段落1"/>
    <w:basedOn w:val="1"/>
    <w:autoRedefine/>
    <w:qFormat/>
    <w:uiPriority w:val="0"/>
    <w:pPr>
      <w:ind w:firstLine="420" w:firstLineChars="200"/>
    </w:pPr>
    <w:rPr>
      <w:rFonts w:ascii="Calibri" w:hAnsi="Calibri"/>
      <w:szCs w:val="22"/>
    </w:rPr>
  </w:style>
  <w:style w:type="character" w:customStyle="1" w:styleId="52">
    <w:name w:val="页眉 Char"/>
    <w:basedOn w:val="36"/>
    <w:link w:val="21"/>
    <w:autoRedefine/>
    <w:qFormat/>
    <w:uiPriority w:val="0"/>
    <w:rPr>
      <w:sz w:val="18"/>
      <w:szCs w:val="18"/>
    </w:rPr>
  </w:style>
  <w:style w:type="character" w:customStyle="1" w:styleId="53">
    <w:name w:val="页脚 Char"/>
    <w:basedOn w:val="36"/>
    <w:link w:val="20"/>
    <w:autoRedefine/>
    <w:qFormat/>
    <w:uiPriority w:val="0"/>
    <w:rPr>
      <w:sz w:val="18"/>
      <w:szCs w:val="18"/>
    </w:rPr>
  </w:style>
  <w:style w:type="character" w:customStyle="1" w:styleId="54">
    <w:name w:val="标题 1 Char"/>
    <w:basedOn w:val="36"/>
    <w:link w:val="3"/>
    <w:autoRedefine/>
    <w:qFormat/>
    <w:uiPriority w:val="0"/>
    <w:rPr>
      <w:rFonts w:ascii="Times New Roman" w:hAnsi="Times New Roman" w:eastAsia="宋体" w:cs="Times New Roman"/>
      <w:sz w:val="28"/>
      <w:szCs w:val="24"/>
    </w:rPr>
  </w:style>
  <w:style w:type="character" w:customStyle="1" w:styleId="55">
    <w:name w:val="标题 2 Char"/>
    <w:basedOn w:val="36"/>
    <w:link w:val="4"/>
    <w:autoRedefine/>
    <w:qFormat/>
    <w:uiPriority w:val="0"/>
    <w:rPr>
      <w:rFonts w:ascii="Arial" w:hAnsi="Arial" w:eastAsia="黑体" w:cs="Times New Roman"/>
      <w:b/>
      <w:kern w:val="0"/>
      <w:sz w:val="32"/>
      <w:szCs w:val="20"/>
    </w:rPr>
  </w:style>
  <w:style w:type="character" w:customStyle="1" w:styleId="56">
    <w:name w:val="标题 3 Char"/>
    <w:basedOn w:val="36"/>
    <w:link w:val="5"/>
    <w:autoRedefine/>
    <w:qFormat/>
    <w:uiPriority w:val="0"/>
    <w:rPr>
      <w:rFonts w:ascii="Times New Roman" w:hAnsi="Times New Roman" w:eastAsia="宋体" w:cs="Times New Roman"/>
      <w:b/>
      <w:bCs/>
      <w:sz w:val="32"/>
      <w:szCs w:val="32"/>
      <w:lang w:val="zh-CN" w:eastAsia="zh-CN"/>
    </w:rPr>
  </w:style>
  <w:style w:type="character" w:customStyle="1" w:styleId="57">
    <w:name w:val="标题 4 Char"/>
    <w:basedOn w:val="36"/>
    <w:link w:val="6"/>
    <w:autoRedefine/>
    <w:qFormat/>
    <w:uiPriority w:val="0"/>
    <w:rPr>
      <w:rFonts w:ascii="Arial" w:hAnsi="Arial" w:eastAsia="黑体" w:cs="Times New Roman"/>
      <w:b/>
      <w:kern w:val="0"/>
      <w:sz w:val="28"/>
      <w:szCs w:val="20"/>
    </w:rPr>
  </w:style>
  <w:style w:type="character" w:customStyle="1" w:styleId="58">
    <w:name w:val="日期 Char"/>
    <w:basedOn w:val="36"/>
    <w:link w:val="17"/>
    <w:autoRedefine/>
    <w:qFormat/>
    <w:uiPriority w:val="0"/>
    <w:rPr>
      <w:rFonts w:ascii="Arial" w:hAnsi="Arial" w:eastAsia="楷体_GB2312" w:cs="Times New Roman"/>
      <w:sz w:val="28"/>
      <w:szCs w:val="20"/>
    </w:rPr>
  </w:style>
  <w:style w:type="character" w:customStyle="1" w:styleId="59">
    <w:name w:val="正文文本缩进 Char"/>
    <w:basedOn w:val="36"/>
    <w:link w:val="12"/>
    <w:autoRedefine/>
    <w:qFormat/>
    <w:uiPriority w:val="0"/>
    <w:rPr>
      <w:rFonts w:ascii="Times New Roman" w:hAnsi="Times New Roman" w:eastAsia="仿宋_GB2312" w:cs="Times New Roman"/>
      <w:sz w:val="28"/>
      <w:szCs w:val="20"/>
    </w:rPr>
  </w:style>
  <w:style w:type="paragraph" w:customStyle="1" w:styleId="60">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1">
    <w:name w:val="正文文本缩进 2 Char"/>
    <w:basedOn w:val="36"/>
    <w:link w:val="18"/>
    <w:autoRedefine/>
    <w:qFormat/>
    <w:uiPriority w:val="0"/>
    <w:rPr>
      <w:rFonts w:ascii="Times New Roman" w:hAnsi="Times New Roman" w:eastAsia="仿宋_GB2312" w:cs="Times New Roman"/>
      <w:sz w:val="28"/>
      <w:szCs w:val="20"/>
    </w:rPr>
  </w:style>
  <w:style w:type="paragraph" w:customStyle="1" w:styleId="62">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3">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4">
    <w:name w:val="样式 标题 2 + 宋体 五号 行距: 单倍行距"/>
    <w:basedOn w:val="4"/>
    <w:autoRedefine/>
    <w:qFormat/>
    <w:uiPriority w:val="0"/>
    <w:pPr>
      <w:spacing w:line="240" w:lineRule="auto"/>
    </w:pPr>
    <w:rPr>
      <w:rFonts w:ascii="宋体" w:hAnsi="宋体" w:eastAsia="宋体"/>
      <w:sz w:val="21"/>
    </w:rPr>
  </w:style>
  <w:style w:type="paragraph" w:customStyle="1" w:styleId="65">
    <w:name w:val="Char Char Char Char Char"/>
    <w:basedOn w:val="1"/>
    <w:autoRedefine/>
    <w:qFormat/>
    <w:uiPriority w:val="0"/>
    <w:rPr>
      <w:rFonts w:ascii="Tahoma" w:hAnsi="Tahoma"/>
      <w:sz w:val="24"/>
    </w:rPr>
  </w:style>
  <w:style w:type="paragraph" w:customStyle="1" w:styleId="66">
    <w:name w:val="Char"/>
    <w:basedOn w:val="1"/>
    <w:autoRedefine/>
    <w:qFormat/>
    <w:uiPriority w:val="0"/>
    <w:rPr>
      <w:rFonts w:ascii="Tahoma" w:hAnsi="Tahoma"/>
      <w:sz w:val="24"/>
    </w:rPr>
  </w:style>
  <w:style w:type="character" w:customStyle="1" w:styleId="67">
    <w:name w:val="正文文本缩进 3 Char"/>
    <w:basedOn w:val="36"/>
    <w:link w:val="25"/>
    <w:autoRedefine/>
    <w:qFormat/>
    <w:uiPriority w:val="0"/>
    <w:rPr>
      <w:rFonts w:ascii="仿宋_GB2312" w:hAnsi="Arial" w:eastAsia="仿宋_GB2312" w:cs="Times New Roman"/>
      <w:sz w:val="28"/>
      <w:szCs w:val="24"/>
    </w:rPr>
  </w:style>
  <w:style w:type="paragraph" w:customStyle="1" w:styleId="68">
    <w:name w:val="Char1"/>
    <w:basedOn w:val="1"/>
    <w:autoRedefine/>
    <w:qFormat/>
    <w:uiPriority w:val="0"/>
    <w:rPr>
      <w:rFonts w:ascii="Tahoma" w:hAnsi="Tahoma" w:eastAsia="仿宋_GB2312"/>
      <w:sz w:val="24"/>
    </w:rPr>
  </w:style>
  <w:style w:type="paragraph" w:customStyle="1" w:styleId="69">
    <w:name w:val="Char Char Char Char Char Char Char1 Char"/>
    <w:basedOn w:val="1"/>
    <w:autoRedefine/>
    <w:qFormat/>
    <w:uiPriority w:val="0"/>
    <w:rPr>
      <w:rFonts w:ascii="Tahoma" w:hAnsi="Tahoma"/>
      <w:sz w:val="24"/>
    </w:rPr>
  </w:style>
  <w:style w:type="character" w:customStyle="1" w:styleId="70">
    <w:name w:val="正文文本 Char"/>
    <w:basedOn w:val="36"/>
    <w:link w:val="2"/>
    <w:autoRedefine/>
    <w:qFormat/>
    <w:uiPriority w:val="0"/>
    <w:rPr>
      <w:rFonts w:ascii="Times New Roman" w:hAnsi="Times New Roman" w:eastAsia="宋体" w:cs="Times New Roman"/>
      <w:szCs w:val="24"/>
    </w:rPr>
  </w:style>
  <w:style w:type="paragraph" w:customStyle="1" w:styleId="71">
    <w:name w:val="Char Char Char Char"/>
    <w:basedOn w:val="1"/>
    <w:next w:val="1"/>
    <w:autoRedefine/>
    <w:qFormat/>
    <w:uiPriority w:val="0"/>
    <w:pPr>
      <w:widowControl/>
      <w:spacing w:line="360" w:lineRule="auto"/>
      <w:jc w:val="left"/>
    </w:pPr>
  </w:style>
  <w:style w:type="character" w:customStyle="1" w:styleId="72">
    <w:name w:val="批注框文本 Char"/>
    <w:basedOn w:val="36"/>
    <w:link w:val="19"/>
    <w:autoRedefine/>
    <w:qFormat/>
    <w:uiPriority w:val="0"/>
    <w:rPr>
      <w:rFonts w:ascii="Times New Roman" w:hAnsi="Times New Roman" w:eastAsia="宋体" w:cs="Times New Roman"/>
      <w:sz w:val="18"/>
      <w:szCs w:val="18"/>
    </w:rPr>
  </w:style>
  <w:style w:type="paragraph" w:customStyle="1" w:styleId="73">
    <w:name w:val="Char Char Char"/>
    <w:basedOn w:val="1"/>
    <w:autoRedefine/>
    <w:qFormat/>
    <w:uiPriority w:val="0"/>
    <w:rPr>
      <w:rFonts w:ascii="Tahoma" w:hAnsi="Tahoma"/>
      <w:sz w:val="24"/>
    </w:rPr>
  </w:style>
  <w:style w:type="paragraph" w:customStyle="1" w:styleId="74">
    <w:name w:val="Char Char Char Char Char Char Char Char Char Char"/>
    <w:basedOn w:val="1"/>
    <w:autoRedefine/>
    <w:qFormat/>
    <w:uiPriority w:val="0"/>
    <w:rPr>
      <w:rFonts w:ascii="Tahoma" w:hAnsi="Tahoma" w:cs="仿宋_GB2312"/>
      <w:sz w:val="24"/>
    </w:rPr>
  </w:style>
  <w:style w:type="character" w:customStyle="1" w:styleId="75">
    <w:name w:val="批注文字 Char"/>
    <w:basedOn w:val="36"/>
    <w:link w:val="10"/>
    <w:autoRedefine/>
    <w:semiHidden/>
    <w:qFormat/>
    <w:uiPriority w:val="99"/>
    <w:rPr>
      <w:rFonts w:ascii="Times New Roman" w:hAnsi="Times New Roman" w:eastAsia="宋体" w:cs="Times New Roman"/>
      <w:szCs w:val="20"/>
    </w:rPr>
  </w:style>
  <w:style w:type="character" w:customStyle="1" w:styleId="76">
    <w:name w:val="批注主题 Char"/>
    <w:basedOn w:val="75"/>
    <w:link w:val="31"/>
    <w:autoRedefine/>
    <w:semiHidden/>
    <w:qFormat/>
    <w:uiPriority w:val="99"/>
    <w:rPr>
      <w:rFonts w:ascii="Times New Roman" w:hAnsi="Times New Roman" w:eastAsia="宋体" w:cs="Times New Roman"/>
      <w:b/>
      <w:bCs/>
      <w:szCs w:val="20"/>
    </w:rPr>
  </w:style>
  <w:style w:type="paragraph" w:customStyle="1" w:styleId="77">
    <w:name w:val="Char Char Char Char Char Char"/>
    <w:basedOn w:val="1"/>
    <w:autoRedefine/>
    <w:qFormat/>
    <w:uiPriority w:val="0"/>
  </w:style>
  <w:style w:type="character" w:customStyle="1" w:styleId="78">
    <w:name w:val="纯文本 Char"/>
    <w:link w:val="15"/>
    <w:autoRedefine/>
    <w:qFormat/>
    <w:uiPriority w:val="0"/>
    <w:rPr>
      <w:rFonts w:ascii="宋体" w:hAnsi="Courier New" w:eastAsia="宋体"/>
    </w:rPr>
  </w:style>
  <w:style w:type="character" w:customStyle="1" w:styleId="79">
    <w:name w:val="纯文本 Char1"/>
    <w:basedOn w:val="36"/>
    <w:autoRedefine/>
    <w:semiHidden/>
    <w:qFormat/>
    <w:uiPriority w:val="99"/>
    <w:rPr>
      <w:rFonts w:ascii="宋体" w:hAnsi="Courier New" w:eastAsia="宋体" w:cs="Courier New"/>
      <w:szCs w:val="21"/>
    </w:rPr>
  </w:style>
  <w:style w:type="paragraph" w:customStyle="1" w:styleId="80">
    <w:name w:val="Char12 Char Char Char"/>
    <w:basedOn w:val="1"/>
    <w:autoRedefine/>
    <w:qFormat/>
    <w:uiPriority w:val="0"/>
  </w:style>
  <w:style w:type="character" w:customStyle="1" w:styleId="81">
    <w:name w:val="文档结构图 Char"/>
    <w:basedOn w:val="36"/>
    <w:link w:val="9"/>
    <w:autoRedefine/>
    <w:qFormat/>
    <w:uiPriority w:val="0"/>
    <w:rPr>
      <w:rFonts w:ascii="Times New Roman" w:hAnsi="Times New Roman" w:eastAsia="宋体" w:cs="Times New Roman"/>
      <w:szCs w:val="20"/>
      <w:shd w:val="clear" w:color="auto" w:fill="000080"/>
    </w:rPr>
  </w:style>
  <w:style w:type="character" w:customStyle="1" w:styleId="82">
    <w:name w:val="style29"/>
    <w:autoRedefine/>
    <w:qFormat/>
    <w:uiPriority w:val="0"/>
  </w:style>
  <w:style w:type="character" w:customStyle="1" w:styleId="83">
    <w:name w:val="正文1"/>
    <w:autoRedefine/>
    <w:qFormat/>
    <w:uiPriority w:val="0"/>
  </w:style>
  <w:style w:type="character" w:customStyle="1" w:styleId="84">
    <w:name w:val="font11"/>
    <w:autoRedefine/>
    <w:qFormat/>
    <w:uiPriority w:val="0"/>
    <w:rPr>
      <w:rFonts w:hint="default" w:ascii="Times New Roman" w:hAnsi="Times New Roman" w:cs="Times New Roman"/>
      <w:color w:val="3366FF"/>
      <w:sz w:val="24"/>
      <w:szCs w:val="24"/>
      <w:u w:val="none"/>
    </w:rPr>
  </w:style>
  <w:style w:type="character" w:customStyle="1" w:styleId="85">
    <w:name w:val="font21"/>
    <w:basedOn w:val="36"/>
    <w:autoRedefine/>
    <w:qFormat/>
    <w:uiPriority w:val="0"/>
    <w:rPr>
      <w:rFonts w:hint="eastAsia" w:ascii="宋体" w:hAnsi="宋体" w:eastAsia="宋体"/>
      <w:color w:val="3366FF"/>
      <w:sz w:val="24"/>
      <w:szCs w:val="24"/>
      <w:u w:val="none"/>
    </w:rPr>
  </w:style>
  <w:style w:type="paragraph" w:customStyle="1" w:styleId="86">
    <w:name w:val="Char Char15"/>
    <w:basedOn w:val="1"/>
    <w:autoRedefine/>
    <w:qFormat/>
    <w:uiPriority w:val="0"/>
    <w:rPr>
      <w:rFonts w:ascii="Tahoma" w:hAnsi="Tahoma" w:eastAsia="仿宋_GB2312"/>
      <w:sz w:val="24"/>
    </w:rPr>
  </w:style>
  <w:style w:type="paragraph" w:customStyle="1" w:styleId="87">
    <w:name w:val="Char2"/>
    <w:basedOn w:val="1"/>
    <w:autoRedefine/>
    <w:qFormat/>
    <w:uiPriority w:val="0"/>
    <w:pPr>
      <w:tabs>
        <w:tab w:val="left" w:pos="360"/>
      </w:tabs>
    </w:pPr>
    <w:rPr>
      <w:sz w:val="24"/>
      <w:szCs w:val="24"/>
    </w:rPr>
  </w:style>
  <w:style w:type="paragraph" w:customStyle="1" w:styleId="88">
    <w:name w:val="Char16"/>
    <w:basedOn w:val="1"/>
    <w:autoRedefine/>
    <w:qFormat/>
    <w:uiPriority w:val="0"/>
    <w:rPr>
      <w:rFonts w:ascii="Tahoma" w:hAnsi="Tahoma" w:eastAsia="仿宋_GB2312"/>
      <w:sz w:val="24"/>
    </w:rPr>
  </w:style>
  <w:style w:type="paragraph" w:customStyle="1" w:styleId="89">
    <w:name w:val="Char Char1"/>
    <w:basedOn w:val="1"/>
    <w:autoRedefine/>
    <w:qFormat/>
    <w:uiPriority w:val="0"/>
    <w:rPr>
      <w:rFonts w:ascii="Tahoma" w:hAnsi="Tahoma"/>
      <w:sz w:val="24"/>
    </w:rPr>
  </w:style>
  <w:style w:type="paragraph" w:customStyle="1" w:styleId="90">
    <w:name w:val="Char Char Char Char Char Char Char"/>
    <w:basedOn w:val="1"/>
    <w:autoRedefine/>
    <w:qFormat/>
    <w:uiPriority w:val="0"/>
    <w:rPr>
      <w:szCs w:val="24"/>
    </w:rPr>
  </w:style>
  <w:style w:type="paragraph" w:customStyle="1" w:styleId="91">
    <w:name w:val="Char Char"/>
    <w:basedOn w:val="1"/>
    <w:autoRedefine/>
    <w:qFormat/>
    <w:uiPriority w:val="0"/>
    <w:rPr>
      <w:rFonts w:ascii="Tahoma" w:hAnsi="Tahoma" w:cs="仿宋_GB2312"/>
      <w:sz w:val="24"/>
    </w:rPr>
  </w:style>
  <w:style w:type="paragraph" w:customStyle="1" w:styleId="92">
    <w:name w:val="Char Char2"/>
    <w:basedOn w:val="1"/>
    <w:autoRedefine/>
    <w:qFormat/>
    <w:uiPriority w:val="0"/>
    <w:rPr>
      <w:rFonts w:ascii="Tahoma" w:hAnsi="Tahoma" w:cs="仿宋_GB2312"/>
      <w:sz w:val="24"/>
    </w:rPr>
  </w:style>
  <w:style w:type="paragraph" w:customStyle="1" w:styleId="93">
    <w:name w:val="Char Char Char1"/>
    <w:basedOn w:val="1"/>
    <w:autoRedefine/>
    <w:qFormat/>
    <w:uiPriority w:val="0"/>
    <w:rPr>
      <w:rFonts w:ascii="Tahoma" w:hAnsi="Tahoma"/>
      <w:sz w:val="24"/>
    </w:rPr>
  </w:style>
  <w:style w:type="paragraph" w:customStyle="1" w:styleId="94">
    <w:name w:val="D&amp;L"/>
    <w:basedOn w:val="21"/>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5">
    <w:name w:val="正文文本 3 Char"/>
    <w:basedOn w:val="36"/>
    <w:link w:val="11"/>
    <w:autoRedefine/>
    <w:qFormat/>
    <w:uiPriority w:val="99"/>
    <w:rPr>
      <w:rFonts w:ascii="Calibri" w:hAnsi="Calibri" w:eastAsia="宋体" w:cs="Times New Roman"/>
      <w:sz w:val="16"/>
      <w:szCs w:val="16"/>
      <w:lang w:val="zh-CN" w:eastAsia="zh-CN"/>
    </w:rPr>
  </w:style>
  <w:style w:type="paragraph" w:customStyle="1" w:styleId="96">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7">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style23"/>
    <w:autoRedefine/>
    <w:qFormat/>
    <w:uiPriority w:val="0"/>
    <w:rPr>
      <w:rFonts w:ascii="Times New Roman" w:hAnsi="Times New Roman" w:eastAsia="宋体"/>
    </w:rPr>
  </w:style>
  <w:style w:type="paragraph" w:customStyle="1" w:styleId="99">
    <w:name w:val="p0"/>
    <w:basedOn w:val="1"/>
    <w:autoRedefine/>
    <w:qFormat/>
    <w:uiPriority w:val="0"/>
    <w:pPr>
      <w:widowControl/>
      <w:jc w:val="left"/>
    </w:pPr>
    <w:rPr>
      <w:rFonts w:ascii="等线" w:hAnsi="等线" w:eastAsia="等线" w:cs="等线"/>
      <w:kern w:val="0"/>
      <w:sz w:val="20"/>
      <w:szCs w:val="22"/>
    </w:rPr>
  </w:style>
  <w:style w:type="paragraph" w:customStyle="1" w:styleId="100">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2">
    <w:name w:val="List Paragraph"/>
    <w:basedOn w:val="1"/>
    <w:autoRedefine/>
    <w:qFormat/>
    <w:uiPriority w:val="34"/>
    <w:pPr>
      <w:ind w:firstLine="420" w:firstLineChars="200"/>
    </w:pPr>
  </w:style>
  <w:style w:type="character" w:customStyle="1" w:styleId="103">
    <w:name w:val="fontstyle31"/>
    <w:basedOn w:val="36"/>
    <w:autoRedefine/>
    <w:qFormat/>
    <w:uiPriority w:val="0"/>
    <w:rPr>
      <w:rFonts w:ascii="仿宋" w:hAnsi="仿宋" w:eastAsia="仿宋" w:cs="仿宋"/>
      <w:color w:val="000000"/>
      <w:sz w:val="28"/>
      <w:szCs w:val="28"/>
    </w:rPr>
  </w:style>
  <w:style w:type="character" w:customStyle="1" w:styleId="104">
    <w:name w:val="正文首行缩进 2 Char"/>
    <w:basedOn w:val="59"/>
    <w:link w:val="33"/>
    <w:autoRedefine/>
    <w:semiHidden/>
    <w:qFormat/>
    <w:uiPriority w:val="99"/>
    <w:rPr>
      <w:rFonts w:ascii="Times New Roman" w:hAnsi="Times New Roman" w:eastAsia="仿宋_GB2312" w:cs="Times New Roman"/>
      <w:kern w:val="2"/>
      <w:sz w:val="21"/>
      <w:szCs w:val="20"/>
    </w:rPr>
  </w:style>
  <w:style w:type="character" w:customStyle="1" w:styleId="105">
    <w:name w:val="font01"/>
    <w:basedOn w:val="36"/>
    <w:autoRedefine/>
    <w:qFormat/>
    <w:uiPriority w:val="0"/>
    <w:rPr>
      <w:rFonts w:hint="default" w:ascii="Times New Roman" w:hAnsi="Times New Roman" w:cs="Times New Roman"/>
      <w:b/>
      <w:color w:val="000000"/>
      <w:sz w:val="20"/>
      <w:szCs w:val="20"/>
      <w:u w:val="none"/>
    </w:rPr>
  </w:style>
  <w:style w:type="character" w:customStyle="1" w:styleId="106">
    <w:name w:val="NormalCharacter"/>
    <w:autoRedefine/>
    <w:qFormat/>
    <w:uiPriority w:val="0"/>
  </w:style>
  <w:style w:type="character" w:customStyle="1" w:styleId="107">
    <w:name w:val="font31"/>
    <w:basedOn w:val="36"/>
    <w:autoRedefine/>
    <w:qFormat/>
    <w:uiPriority w:val="0"/>
    <w:rPr>
      <w:rFonts w:hint="eastAsia" w:ascii="宋体" w:hAnsi="宋体" w:eastAsia="宋体" w:cs="宋体"/>
      <w:color w:val="000000"/>
      <w:sz w:val="24"/>
      <w:szCs w:val="24"/>
      <w:u w:val="none"/>
    </w:rPr>
  </w:style>
  <w:style w:type="character" w:customStyle="1" w:styleId="108">
    <w:name w:val="font41"/>
    <w:basedOn w:val="36"/>
    <w:autoRedefine/>
    <w:qFormat/>
    <w:uiPriority w:val="0"/>
    <w:rPr>
      <w:rFonts w:hint="default" w:ascii="Times New Roman" w:hAnsi="Times New Roman" w:cs="Times New Roman"/>
      <w:color w:val="000000"/>
      <w:sz w:val="24"/>
      <w:szCs w:val="24"/>
      <w:u w:val="none"/>
    </w:rPr>
  </w:style>
  <w:style w:type="character" w:customStyle="1" w:styleId="109">
    <w:name w:val="font51"/>
    <w:basedOn w:val="36"/>
    <w:autoRedefine/>
    <w:qFormat/>
    <w:uiPriority w:val="0"/>
    <w:rPr>
      <w:rFonts w:hint="eastAsia" w:ascii="宋体" w:hAnsi="宋体" w:eastAsia="宋体" w:cs="宋体"/>
      <w:color w:val="00B050"/>
      <w:sz w:val="24"/>
      <w:szCs w:val="24"/>
      <w:u w:val="none"/>
    </w:rPr>
  </w:style>
  <w:style w:type="character" w:customStyle="1" w:styleId="110">
    <w:name w:val="font61"/>
    <w:basedOn w:val="36"/>
    <w:autoRedefine/>
    <w:qFormat/>
    <w:uiPriority w:val="0"/>
    <w:rPr>
      <w:rFonts w:hint="default" w:ascii="Times New Roman" w:hAnsi="Times New Roman" w:cs="Times New Roman"/>
      <w:color w:val="00B05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8508</Words>
  <Characters>3850</Characters>
  <Lines>32</Lines>
  <Paragraphs>24</Paragraphs>
  <TotalTime>6</TotalTime>
  <ScaleCrop>false</ScaleCrop>
  <LinksUpToDate>false</LinksUpToDate>
  <CharactersWithSpaces>12334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2023-01-12T00:30:00Z</cp:lastPrinted>
  <dcterms:modified xsi:type="dcterms:W3CDTF">2023-12-28T07:36:05Z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0AB14F1A6BA94FB9AE69EEEB6BAE1D5F_13</vt:lpwstr>
  </property>
</Properties>
</file>