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s>
        <w:kinsoku/>
        <w:wordWrap/>
        <w:overflowPunct/>
        <w:topLinePunct w:val="0"/>
        <w:autoSpaceDE/>
        <w:autoSpaceDN/>
        <w:bidi w:val="0"/>
        <w:adjustRightInd/>
        <w:snapToGrid/>
        <w:spacing w:beforeLines="150" w:line="200" w:lineRule="exact"/>
        <w:jc w:val="center"/>
        <w:textAlignment w:val="auto"/>
        <w:rPr>
          <w:rFonts w:ascii="宋体" w:hAnsi="宋体" w:cs="宋体"/>
          <w:sz w:val="24"/>
          <w:szCs w:val="24"/>
        </w:rPr>
      </w:pPr>
    </w:p>
    <w:p>
      <w:pPr>
        <w:tabs>
          <w:tab w:val="left" w:pos="420"/>
        </w:tabs>
        <w:spacing w:beforeLines="150" w:line="1700" w:lineRule="exact"/>
        <w:jc w:val="center"/>
        <w:rPr>
          <w:rFonts w:ascii="宋体" w:hAnsi="宋体"/>
          <w:b/>
          <w:bCs/>
          <w:sz w:val="52"/>
          <w:szCs w:val="52"/>
        </w:rPr>
      </w:pPr>
      <w:r>
        <w:rPr>
          <w:rFonts w:ascii="宋体" w:hAnsi="宋体" w:cs="宋体"/>
          <w:sz w:val="24"/>
          <w:szCs w:val="24"/>
        </w:rPr>
        <w:fldChar w:fldCharType="begin"/>
      </w:r>
      <w:r>
        <w:rPr>
          <w:rFonts w:ascii="宋体" w:hAnsi="宋体" w:cs="宋体"/>
          <w:sz w:val="24"/>
          <w:szCs w:val="24"/>
        </w:rPr>
        <w:instrText xml:space="preserve">INCLUDEPICTURE \d "http://www.laey.net/uploadfiles/images/logo.png" \* MERGEFORMATINET </w:instrText>
      </w:r>
      <w:r>
        <w:rPr>
          <w:rFonts w:ascii="宋体" w:hAnsi="宋体" w:cs="宋体"/>
          <w:sz w:val="24"/>
          <w:szCs w:val="24"/>
        </w:rPr>
        <w:fldChar w:fldCharType="separate"/>
      </w:r>
      <w:r>
        <w:rPr>
          <w:rFonts w:ascii="宋体" w:hAnsi="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cs="宋体"/>
          <w:sz w:val="24"/>
          <w:szCs w:val="24"/>
        </w:rPr>
        <w:fldChar w:fldCharType="end"/>
      </w:r>
    </w:p>
    <w:p>
      <w:pPr>
        <w:tabs>
          <w:tab w:val="left" w:pos="420"/>
        </w:tabs>
        <w:spacing w:beforeLines="150" w:line="1700" w:lineRule="exact"/>
        <w:jc w:val="center"/>
        <w:rPr>
          <w:rFonts w:ascii="宋体" w:hAnsi="宋体"/>
          <w:b/>
          <w:bCs/>
          <w:sz w:val="52"/>
          <w:szCs w:val="52"/>
        </w:rPr>
      </w:pPr>
    </w:p>
    <w:p>
      <w:pPr>
        <w:pStyle w:val="33"/>
      </w:pPr>
    </w:p>
    <w:p>
      <w:pPr>
        <w:tabs>
          <w:tab w:val="left" w:pos="420"/>
        </w:tabs>
        <w:spacing w:beforeLines="150" w:line="240" w:lineRule="auto"/>
        <w:jc w:val="center"/>
        <w:rPr>
          <w:rFonts w:hint="eastAsia" w:ascii="宋体" w:hAnsi="宋体" w:eastAsia="宋体" w:cs="Times New Roman"/>
          <w:b/>
          <w:bCs/>
          <w:sz w:val="48"/>
          <w:szCs w:val="48"/>
          <w:lang w:val="en-US" w:eastAsia="zh-CN"/>
        </w:rPr>
      </w:pPr>
      <w:r>
        <w:rPr>
          <w:rFonts w:hint="eastAsia" w:ascii="宋体" w:hAnsi="宋体" w:eastAsia="宋体" w:cs="Times New Roman"/>
          <w:b/>
          <w:bCs/>
          <w:sz w:val="48"/>
          <w:szCs w:val="48"/>
          <w:lang w:val="en-US" w:eastAsia="zh-CN"/>
        </w:rPr>
        <w:t>人血液标本全转录组测序及生信分析检测服务项目</w:t>
      </w:r>
    </w:p>
    <w:p>
      <w:pPr>
        <w:tabs>
          <w:tab w:val="left" w:pos="420"/>
        </w:tabs>
        <w:spacing w:beforeLines="150" w:line="240" w:lineRule="auto"/>
        <w:jc w:val="center"/>
        <w:rPr>
          <w:rFonts w:ascii="宋体" w:hAnsi="宋体"/>
          <w:b/>
          <w:bCs/>
          <w:sz w:val="52"/>
          <w:szCs w:val="52"/>
        </w:rPr>
      </w:pPr>
      <w:r>
        <w:rPr>
          <w:rFonts w:hint="eastAsia" w:ascii="宋体" w:hAnsi="宋体"/>
          <w:b/>
          <w:bCs/>
          <w:sz w:val="52"/>
          <w:szCs w:val="52"/>
          <w:lang w:eastAsia="zh-CN"/>
        </w:rPr>
        <w:t>竞争性</w:t>
      </w:r>
      <w:r>
        <w:rPr>
          <w:rFonts w:hint="eastAsia" w:ascii="宋体" w:hAnsi="宋体"/>
          <w:b/>
          <w:bCs/>
          <w:sz w:val="52"/>
          <w:szCs w:val="52"/>
          <w:lang w:val="en-US" w:eastAsia="zh-CN"/>
        </w:rPr>
        <w:t>磋商</w:t>
      </w:r>
      <w:r>
        <w:rPr>
          <w:rFonts w:hint="eastAsia" w:ascii="宋体" w:hAnsi="宋体"/>
          <w:b/>
          <w:bCs/>
          <w:sz w:val="52"/>
          <w:szCs w:val="52"/>
        </w:rPr>
        <w:t>文件</w:t>
      </w:r>
    </w:p>
    <w:p>
      <w:pPr>
        <w:tabs>
          <w:tab w:val="left" w:pos="315"/>
          <w:tab w:val="left" w:pos="8820"/>
        </w:tabs>
        <w:spacing w:beforeLines="100" w:afterLines="50" w:line="500" w:lineRule="exact"/>
        <w:ind w:right="267" w:rightChars="127"/>
        <w:jc w:val="center"/>
        <w:rPr>
          <w:rFonts w:ascii="Arial Black" w:hAnsi="Arial Black" w:eastAsia="华文彩云"/>
          <w:sz w:val="44"/>
        </w:rPr>
      </w:pP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33"/>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rPr>
          <w:rFonts w:ascii="宋体" w:hAnsi="DotumChe" w:cs="宋体"/>
          <w:b/>
          <w:spacing w:val="20"/>
          <w:kern w:val="0"/>
          <w:sz w:val="28"/>
          <w:szCs w:val="28"/>
        </w:rPr>
      </w:pPr>
    </w:p>
    <w:p>
      <w:pPr>
        <w:tabs>
          <w:tab w:val="left" w:pos="2410"/>
        </w:tabs>
        <w:autoSpaceDE w:val="0"/>
        <w:autoSpaceDN w:val="0"/>
        <w:adjustRightInd w:val="0"/>
        <w:snapToGrid w:val="0"/>
        <w:spacing w:line="360" w:lineRule="auto"/>
        <w:jc w:val="center"/>
        <w:rPr>
          <w:rFonts w:hint="eastAsia" w:ascii="宋体" w:hAnsi="DotumChe" w:eastAsia="宋体" w:cs="宋体"/>
          <w:b/>
          <w:spacing w:val="20"/>
          <w:kern w:val="0"/>
          <w:sz w:val="28"/>
          <w:szCs w:val="28"/>
          <w:lang w:eastAsia="zh-CN"/>
        </w:rPr>
      </w:pPr>
      <w:r>
        <w:rPr>
          <w:rFonts w:hint="eastAsia" w:ascii="宋体" w:hAnsi="DotumChe" w:cs="宋体"/>
          <w:b/>
          <w:spacing w:val="20"/>
          <w:kern w:val="0"/>
          <w:sz w:val="28"/>
          <w:szCs w:val="28"/>
        </w:rPr>
        <w:t>采购人：皖西卫生职业学院附属医院</w:t>
      </w:r>
    </w:p>
    <w:p>
      <w:pPr>
        <w:jc w:val="center"/>
        <w:rPr>
          <w:b/>
          <w:sz w:val="28"/>
          <w:szCs w:val="28"/>
        </w:rPr>
      </w:pPr>
      <w:r>
        <w:rPr>
          <w:rFonts w:hint="eastAsia" w:ascii="宋体" w:hAnsi="DotumChe" w:cs="宋体"/>
          <w:b/>
          <w:spacing w:val="20"/>
          <w:kern w:val="0"/>
          <w:sz w:val="28"/>
          <w:szCs w:val="28"/>
        </w:rPr>
        <w:t>采购时间：202</w:t>
      </w:r>
      <w:r>
        <w:rPr>
          <w:rFonts w:hint="eastAsia" w:ascii="宋体" w:hAnsi="DotumChe" w:cs="宋体"/>
          <w:b/>
          <w:spacing w:val="20"/>
          <w:kern w:val="0"/>
          <w:sz w:val="28"/>
          <w:szCs w:val="28"/>
          <w:lang w:val="en-US" w:eastAsia="zh-CN"/>
        </w:rPr>
        <w:t>4</w:t>
      </w:r>
      <w:r>
        <w:rPr>
          <w:rFonts w:hint="eastAsia" w:ascii="宋体" w:hAnsi="DotumChe" w:cs="宋体"/>
          <w:b/>
          <w:spacing w:val="20"/>
          <w:kern w:val="0"/>
          <w:sz w:val="28"/>
          <w:szCs w:val="28"/>
        </w:rPr>
        <w:t>年</w:t>
      </w:r>
      <w:r>
        <w:rPr>
          <w:rFonts w:hint="eastAsia" w:ascii="宋体" w:hAnsi="DotumChe" w:cs="宋体"/>
          <w:b/>
          <w:spacing w:val="20"/>
          <w:kern w:val="0"/>
          <w:sz w:val="28"/>
          <w:szCs w:val="28"/>
          <w:lang w:val="en-US" w:eastAsia="zh-CN"/>
        </w:rPr>
        <w:t>3</w:t>
      </w:r>
      <w:r>
        <w:rPr>
          <w:rFonts w:hint="eastAsia" w:ascii="宋体" w:hAnsi="DotumChe" w:cs="宋体"/>
          <w:b/>
          <w:spacing w:val="20"/>
          <w:kern w:val="0"/>
          <w:sz w:val="28"/>
          <w:szCs w:val="28"/>
        </w:rPr>
        <w:t>月</w:t>
      </w:r>
      <w:r>
        <w:rPr>
          <w:rFonts w:hint="eastAsia"/>
          <w:b/>
          <w:sz w:val="28"/>
          <w:szCs w:val="28"/>
        </w:rPr>
        <w:br w:type="page"/>
      </w:r>
    </w:p>
    <w:p>
      <w:pPr>
        <w:spacing w:after="120" w:afterLines="50"/>
        <w:jc w:val="center"/>
        <w:rPr>
          <w:rFonts w:ascii="宋体" w:hAnsi="宋体" w:cs="宋体"/>
          <w:sz w:val="36"/>
          <w:szCs w:val="36"/>
        </w:rPr>
      </w:pPr>
      <w:r>
        <w:rPr>
          <w:rFonts w:hint="eastAsia" w:ascii="宋体" w:hAnsi="宋体" w:cs="宋体"/>
          <w:b/>
          <w:sz w:val="36"/>
          <w:szCs w:val="36"/>
        </w:rPr>
        <w:t>目  录</w:t>
      </w:r>
    </w:p>
    <w:p>
      <w:pPr>
        <w:pStyle w:val="28"/>
        <w:tabs>
          <w:tab w:val="right" w:leader="dot" w:pos="8844"/>
        </w:tabs>
        <w:spacing w:line="400" w:lineRule="exact"/>
        <w:ind w:leftChars="0"/>
        <w:rPr>
          <w:rFonts w:ascii="宋体" w:hAnsi="宋体" w:cs="宋体"/>
          <w:b/>
          <w:bCs/>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w:instrText>
      </w:r>
      <w:r>
        <w:rPr>
          <w:rFonts w:hint="eastAsia" w:ascii="宋体" w:hAnsi="宋体" w:cs="宋体"/>
          <w:sz w:val="24"/>
          <w:szCs w:val="24"/>
        </w:rPr>
        <w:fldChar w:fldCharType="separate"/>
      </w:r>
      <w:r>
        <w:fldChar w:fldCharType="begin"/>
      </w:r>
      <w:r>
        <w:instrText xml:space="preserve"> HYPERLINK \l "_Toc1863" </w:instrText>
      </w:r>
      <w:r>
        <w:fldChar w:fldCharType="separate"/>
      </w:r>
      <w:r>
        <w:rPr>
          <w:rFonts w:hint="eastAsia" w:ascii="宋体" w:hAnsi="宋体" w:cs="宋体"/>
          <w:b/>
          <w:bCs/>
          <w:sz w:val="24"/>
          <w:szCs w:val="24"/>
        </w:rPr>
        <w:t>竞争性磋商采购公告</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_Toc1863 \h </w:instrText>
      </w:r>
      <w:r>
        <w:rPr>
          <w:rFonts w:hint="eastAsia" w:ascii="宋体" w:hAnsi="宋体" w:cs="宋体"/>
          <w:b/>
          <w:bCs/>
          <w:sz w:val="24"/>
          <w:szCs w:val="24"/>
        </w:rPr>
        <w:fldChar w:fldCharType="separate"/>
      </w:r>
      <w:r>
        <w:rPr>
          <w:rFonts w:hint="eastAsia" w:ascii="宋体" w:hAnsi="宋体" w:cs="宋体"/>
          <w:b/>
          <w:bCs/>
          <w:sz w:val="24"/>
          <w:szCs w:val="24"/>
        </w:rPr>
        <w:t>3</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"_Toc21819"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_Toc21819 \h </w:instrText>
      </w:r>
      <w:r>
        <w:rPr>
          <w:rFonts w:hint="eastAsia" w:ascii="宋体" w:hAnsi="宋体" w:cs="宋体"/>
          <w:b/>
          <w:bCs/>
          <w:sz w:val="24"/>
          <w:szCs w:val="24"/>
        </w:rPr>
        <w:fldChar w:fldCharType="separate"/>
      </w:r>
      <w:r>
        <w:rPr>
          <w:rFonts w:hint="eastAsia" w:ascii="宋体" w:hAnsi="宋体" w:cs="宋体"/>
          <w:b/>
          <w:bCs/>
          <w:sz w:val="24"/>
          <w:szCs w:val="24"/>
        </w:rPr>
        <w:t>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"_Toc22568"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_Toc22568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"_Toc14333"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_Toc14333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"_Toc9435"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_Toc9435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"_Toc9883" </w:instrText>
      </w:r>
      <w:r>
        <w:fldChar w:fldCharType="separate"/>
      </w:r>
      <w:r>
        <w:rPr>
          <w:rFonts w:hint="eastAsia" w:ascii="宋体" w:hAnsi="宋体" w:cs="宋体"/>
          <w:sz w:val="24"/>
          <w:szCs w:val="24"/>
        </w:rPr>
        <w:t>（四）响应文件的提交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_Toc9883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"_Toc32682" </w:instrText>
      </w:r>
      <w:r>
        <w:fldChar w:fldCharType="separate"/>
      </w:r>
      <w:r>
        <w:rPr>
          <w:rFonts w:hint="eastAsia" w:ascii="宋体" w:hAnsi="宋体" w:cs="宋体"/>
          <w:sz w:val="24"/>
          <w:szCs w:val="24"/>
        </w:rPr>
        <w:t>（五）磋商程序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_Toc32682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"_Toc11542" </w:instrText>
      </w:r>
      <w:r>
        <w:fldChar w:fldCharType="separate"/>
      </w:r>
      <w:r>
        <w:rPr>
          <w:rFonts w:hint="eastAsia" w:ascii="宋体" w:hAnsi="宋体" w:cs="宋体"/>
          <w:sz w:val="24"/>
          <w:szCs w:val="24"/>
        </w:rPr>
        <w:t>（六）评审及异常情况处理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_Toc11542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"_Toc30632" </w:instrText>
      </w:r>
      <w:r>
        <w:fldChar w:fldCharType="separate"/>
      </w:r>
      <w:r>
        <w:rPr>
          <w:rFonts w:hint="eastAsia" w:ascii="宋体" w:hAnsi="宋体" w:cs="宋体"/>
          <w:sz w:val="24"/>
          <w:szCs w:val="24"/>
        </w:rPr>
        <w:t>（七）报价响应及答疑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_Toc30632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"_Toc19999" </w:instrText>
      </w:r>
      <w:r>
        <w:fldChar w:fldCharType="separate"/>
      </w:r>
      <w:r>
        <w:rPr>
          <w:rFonts w:hint="eastAsia" w:ascii="宋体" w:hAnsi="宋体" w:cs="宋体"/>
          <w:sz w:val="24"/>
          <w:szCs w:val="24"/>
        </w:rPr>
        <w:t>（八）合同的签订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_Toc19999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"_Toc1832" </w:instrText>
      </w:r>
      <w:r>
        <w:fldChar w:fldCharType="separate"/>
      </w:r>
      <w:r>
        <w:rPr>
          <w:rFonts w:hint="eastAsia" w:ascii="宋体" w:hAnsi="宋体" w:cs="宋体"/>
          <w:sz w:val="24"/>
          <w:szCs w:val="24"/>
        </w:rPr>
        <w:t>（九）澄清及变更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_Toc1832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"_Toc18928" </w:instrText>
      </w:r>
      <w:r>
        <w:fldChar w:fldCharType="separate"/>
      </w:r>
      <w:r>
        <w:rPr>
          <w:rFonts w:hint="eastAsia" w:ascii="宋体" w:hAnsi="宋体" w:cs="宋体"/>
          <w:sz w:val="24"/>
          <w:szCs w:val="24"/>
        </w:rPr>
        <w:t>（十）验收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_Toc18928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"_Toc3680" </w:instrText>
      </w:r>
      <w:r>
        <w:fldChar w:fldCharType="separate"/>
      </w:r>
      <w:r>
        <w:rPr>
          <w:rFonts w:hint="eastAsia" w:ascii="宋体" w:hAnsi="宋体" w:cs="宋体"/>
          <w:sz w:val="24"/>
          <w:szCs w:val="24"/>
        </w:rPr>
        <w:t>（十一）质疑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_Toc3680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"_Toc22378" </w:instrText>
      </w:r>
      <w:r>
        <w:fldChar w:fldCharType="separate"/>
      </w:r>
      <w:r>
        <w:rPr>
          <w:rFonts w:hint="eastAsia" w:ascii="宋体" w:hAnsi="宋体" w:cs="宋体"/>
          <w:b/>
          <w:bCs/>
          <w:sz w:val="24"/>
          <w:szCs w:val="24"/>
        </w:rPr>
        <w:t>二、采购合同</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_Toc22378 \h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"_Toc17199"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_Toc17199 \h </w:instrText>
      </w:r>
      <w:r>
        <w:rPr>
          <w:rFonts w:hint="eastAsia" w:ascii="宋体" w:hAnsi="宋体" w:cs="宋体"/>
          <w:b/>
          <w:bCs/>
          <w:sz w:val="24"/>
          <w:szCs w:val="24"/>
        </w:rPr>
        <w:fldChar w:fldCharType="separate"/>
      </w:r>
      <w:r>
        <w:rPr>
          <w:rFonts w:hint="eastAsia" w:ascii="宋体" w:hAnsi="宋体" w:cs="宋体"/>
          <w:b/>
          <w:bCs/>
          <w:sz w:val="24"/>
          <w:szCs w:val="24"/>
        </w:rPr>
        <w:t>24</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"_Toc19815" </w:instrText>
      </w:r>
      <w:r>
        <w:fldChar w:fldCharType="separate"/>
      </w:r>
      <w:r>
        <w:rPr>
          <w:rFonts w:hint="eastAsia" w:ascii="宋体" w:hAnsi="宋体" w:cs="宋体"/>
          <w:b/>
          <w:bCs/>
          <w:sz w:val="24"/>
          <w:szCs w:val="24"/>
        </w:rPr>
        <w:t>四、评分标准</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_Toc19815 \h </w:instrText>
      </w:r>
      <w:r>
        <w:rPr>
          <w:rFonts w:hint="eastAsia" w:ascii="宋体" w:hAnsi="宋体" w:cs="宋体"/>
          <w:b/>
          <w:bCs/>
          <w:sz w:val="24"/>
          <w:szCs w:val="24"/>
        </w:rPr>
        <w:fldChar w:fldCharType="separate"/>
      </w:r>
      <w:r>
        <w:rPr>
          <w:rFonts w:hint="eastAsia" w:ascii="宋体" w:hAnsi="宋体" w:cs="宋体"/>
          <w:b/>
          <w:bCs/>
          <w:sz w:val="24"/>
          <w:szCs w:val="24"/>
        </w:rPr>
        <w:t>26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"_Toc8088" </w:instrText>
      </w:r>
      <w:r>
        <w:fldChar w:fldCharType="separate"/>
      </w:r>
      <w:r>
        <w:rPr>
          <w:rFonts w:hint="eastAsia" w:ascii="宋体" w:hAnsi="宋体" w:cs="宋体"/>
          <w:b/>
          <w:bCs/>
          <w:sz w:val="24"/>
          <w:szCs w:val="24"/>
        </w:rPr>
        <w:t>五、响应文件格式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_Toc8088 \h </w:instrText>
      </w:r>
      <w:r>
        <w:rPr>
          <w:rFonts w:hint="eastAsia" w:ascii="宋体" w:hAnsi="宋体" w:cs="宋体"/>
          <w:b/>
          <w:bCs/>
          <w:sz w:val="24"/>
          <w:szCs w:val="24"/>
        </w:rPr>
        <w:fldChar w:fldCharType="separate"/>
      </w:r>
      <w:r>
        <w:rPr>
          <w:rFonts w:hint="eastAsia" w:ascii="宋体" w:hAnsi="宋体" w:cs="宋体"/>
          <w:b/>
          <w:bCs/>
          <w:sz w:val="24"/>
          <w:szCs w:val="24"/>
        </w:rPr>
        <w:t>28</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"_Toc2602"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_Toc2602 \h </w:instrText>
      </w:r>
      <w:r>
        <w:rPr>
          <w:rFonts w:hint="eastAsia" w:ascii="宋体" w:hAnsi="宋体" w:cs="宋体"/>
          <w:b/>
          <w:bCs/>
          <w:sz w:val="24"/>
          <w:szCs w:val="24"/>
        </w:rPr>
        <w:fldChar w:fldCharType="separate"/>
      </w:r>
      <w:r>
        <w:rPr>
          <w:rFonts w:hint="eastAsia" w:ascii="宋体" w:hAnsi="宋体" w:cs="宋体"/>
          <w:b/>
          <w:bCs/>
          <w:sz w:val="24"/>
          <w:szCs w:val="24"/>
        </w:rPr>
        <w:t>29</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"_Toc21309"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_Toc21309 \h </w:instrText>
      </w:r>
      <w:r>
        <w:rPr>
          <w:rFonts w:hint="eastAsia" w:ascii="宋体" w:hAnsi="宋体" w:cs="宋体"/>
          <w:sz w:val="24"/>
          <w:szCs w:val="24"/>
        </w:rPr>
        <w:fldChar w:fldCharType="separate"/>
      </w:r>
      <w:r>
        <w:rPr>
          <w:rFonts w:hint="eastAsia" w:ascii="宋体" w:hAnsi="宋体" w:cs="宋体"/>
          <w:sz w:val="24"/>
          <w:szCs w:val="24"/>
        </w:rPr>
        <w:t>30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"_Toc22855"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_Toc22855 \h </w:instrText>
      </w:r>
      <w:r>
        <w:rPr>
          <w:rFonts w:hint="eastAsia" w:ascii="宋体" w:hAnsi="宋体" w:cs="宋体"/>
          <w:sz w:val="24"/>
          <w:szCs w:val="24"/>
        </w:rPr>
        <w:fldChar w:fldCharType="separate"/>
      </w:r>
      <w:r>
        <w:rPr>
          <w:rFonts w:hint="eastAsia" w:ascii="宋体" w:hAnsi="宋体" w:cs="宋体"/>
          <w:sz w:val="24"/>
          <w:szCs w:val="24"/>
        </w:rPr>
        <w:t>31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"_Toc10154" </w:instrText>
      </w:r>
      <w:r>
        <w:fldChar w:fldCharType="separate"/>
      </w:r>
      <w:r>
        <w:rPr>
          <w:rFonts w:hint="eastAsia" w:ascii="宋体" w:hAnsi="宋体" w:cs="宋体"/>
          <w:sz w:val="24"/>
          <w:szCs w:val="24"/>
        </w:rPr>
        <w:t>附件三 磋商授权书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_Toc10154 \h </w:instrText>
      </w:r>
      <w:r>
        <w:rPr>
          <w:rFonts w:hint="eastAsia" w:ascii="宋体" w:hAnsi="宋体" w:cs="宋体"/>
          <w:sz w:val="24"/>
          <w:szCs w:val="24"/>
        </w:rPr>
        <w:fldChar w:fldCharType="separate"/>
      </w:r>
      <w:r>
        <w:rPr>
          <w:rFonts w:hint="eastAsia" w:ascii="宋体" w:hAnsi="宋体" w:cs="宋体"/>
          <w:sz w:val="24"/>
          <w:szCs w:val="24"/>
        </w:rPr>
        <w:t>31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"_Toc17888" </w:instrText>
      </w:r>
      <w:r>
        <w:fldChar w:fldCharType="separate"/>
      </w:r>
      <w:r>
        <w:rPr>
          <w:rFonts w:hint="eastAsia" w:ascii="宋体" w:hAnsi="宋体" w:cs="宋体"/>
          <w:sz w:val="24"/>
          <w:szCs w:val="24"/>
        </w:rPr>
        <w:t>附件四 磋商响应函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_Toc17888 \h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"_Toc16627"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_Toc16627 \h </w:instrText>
      </w:r>
      <w:r>
        <w:rPr>
          <w:rFonts w:hint="eastAsia" w:ascii="宋体" w:hAnsi="宋体" w:cs="宋体"/>
          <w:sz w:val="24"/>
          <w:szCs w:val="24"/>
        </w:rPr>
        <w:fldChar w:fldCharType="separate"/>
      </w:r>
      <w:r>
        <w:rPr>
          <w:rFonts w:hint="eastAsia" w:ascii="宋体" w:hAnsi="宋体" w:cs="宋体"/>
          <w:sz w:val="24"/>
          <w:szCs w:val="24"/>
        </w:rPr>
        <w:t>34</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"_Toc17797"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_Toc17797 \h </w:instrText>
      </w:r>
      <w:r>
        <w:rPr>
          <w:rFonts w:hint="eastAsia" w:ascii="宋体" w:hAnsi="宋体" w:cs="宋体"/>
          <w:sz w:val="24"/>
          <w:szCs w:val="24"/>
        </w:rPr>
        <w:fldChar w:fldCharType="separate"/>
      </w:r>
      <w:r>
        <w:rPr>
          <w:rFonts w:hint="eastAsia" w:ascii="宋体" w:hAnsi="宋体" w:cs="宋体"/>
          <w:sz w:val="24"/>
          <w:szCs w:val="24"/>
        </w:rPr>
        <w:t>35</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80" w:firstLineChars="200"/>
        <w:rPr>
          <w:rFonts w:ascii="宋体" w:hAnsi="宋体" w:cs="宋体"/>
          <w:sz w:val="24"/>
          <w:szCs w:val="24"/>
        </w:rPr>
      </w:pPr>
      <w:r>
        <w:rPr>
          <w:rFonts w:hint="eastAsia" w:ascii="宋体" w:hAnsi="宋体" w:cs="宋体"/>
          <w:sz w:val="24"/>
          <w:szCs w:val="24"/>
        </w:rPr>
        <w:t xml:space="preserve">附件七 </w:t>
      </w:r>
      <w:r>
        <w:fldChar w:fldCharType="begin"/>
      </w:r>
      <w:r>
        <w:instrText xml:space="preserve"> HYPERLINK \l "_Toc30527" </w:instrText>
      </w:r>
      <w:r>
        <w:fldChar w:fldCharType="separate"/>
      </w:r>
      <w:r>
        <w:rPr>
          <w:rFonts w:hint="eastAsia" w:ascii="宋体" w:hAnsi="宋体" w:cs="宋体"/>
          <w:sz w:val="24"/>
          <w:szCs w:val="24"/>
        </w:rPr>
        <w:t>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_Toc30527 \h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"_Toc7571" </w:instrText>
      </w:r>
      <w:r>
        <w:fldChar w:fldCharType="separate"/>
      </w:r>
      <w:r>
        <w:rPr>
          <w:rFonts w:hint="eastAsia" w:ascii="宋体" w:hAnsi="宋体" w:cs="宋体"/>
          <w:sz w:val="24"/>
          <w:szCs w:val="24"/>
        </w:rPr>
        <w:t>附件</w:t>
      </w:r>
      <w:r>
        <w:rPr>
          <w:rFonts w:hint="eastAsia" w:ascii="宋体" w:hAnsi="宋体" w:cs="宋体"/>
          <w:sz w:val="24"/>
          <w:szCs w:val="24"/>
          <w:lang w:val="en-US" w:eastAsia="zh-CN"/>
        </w:rPr>
        <w:t>八</w:t>
      </w:r>
      <w:r>
        <w:rPr>
          <w:rFonts w:hint="eastAsia" w:ascii="宋体" w:hAnsi="宋体" w:cs="宋体"/>
          <w:sz w:val="24"/>
          <w:szCs w:val="24"/>
        </w:rPr>
        <w:t xml:space="preserve"> 磋商</w:t>
      </w:r>
      <w:r>
        <w:rPr>
          <w:rFonts w:hint="eastAsia" w:ascii="宋体" w:hAnsi="宋体" w:cs="宋体"/>
          <w:bCs/>
          <w:sz w:val="24"/>
          <w:szCs w:val="24"/>
        </w:rPr>
        <w:t>文件要求和供应商认为需要提供的其它说明和资料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_Toc7571 \h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80" w:firstLineChars="200"/>
        <w:rPr>
          <w:rFonts w:ascii="宋体" w:hAnsi="宋体" w:cs="宋体"/>
          <w:sz w:val="24"/>
          <w:szCs w:val="24"/>
        </w:rPr>
      </w:pPr>
    </w:p>
    <w:p>
      <w:pPr>
        <w:pStyle w:val="28"/>
        <w:tabs>
          <w:tab w:val="right" w:leader="dot" w:pos="8778"/>
        </w:tabs>
        <w:spacing w:line="400" w:lineRule="exact"/>
        <w:ind w:left="0" w:leftChars="0"/>
        <w:rPr>
          <w:sz w:val="28"/>
          <w:szCs w:val="28"/>
        </w:rPr>
      </w:pPr>
      <w:r>
        <w:rPr>
          <w:rFonts w:hint="eastAsia" w:ascii="宋体" w:hAnsi="宋体" w:cs="宋体"/>
          <w:sz w:val="24"/>
          <w:szCs w:val="24"/>
        </w:rPr>
        <w:fldChar w:fldCharType="end"/>
      </w:r>
      <w:bookmarkStart w:id="0" w:name="_Toc216158623"/>
      <w:bookmarkStart w:id="1" w:name="_Toc363199264"/>
      <w:r>
        <w:rPr>
          <w:rFonts w:hint="eastAsia"/>
          <w:sz w:val="28"/>
          <w:szCs w:val="28"/>
        </w:rPr>
        <w:br w:type="page"/>
      </w:r>
    </w:p>
    <w:p>
      <w:pPr>
        <w:pStyle w:val="3"/>
        <w:spacing w:before="120" w:beforeLines="50" w:after="120" w:afterLines="50" w:line="520" w:lineRule="exact"/>
        <w:jc w:val="center"/>
        <w:rPr>
          <w:rFonts w:ascii="华文中宋" w:hAnsi="华文中宋" w:eastAsia="华文中宋" w:cs="华文中宋"/>
          <w:b w:val="0"/>
          <w:bCs/>
          <w:sz w:val="44"/>
          <w:szCs w:val="44"/>
        </w:rPr>
      </w:pPr>
      <w:bookmarkStart w:id="2" w:name="_Toc1863"/>
      <w:bookmarkStart w:id="3" w:name="_Toc30186"/>
      <w:r>
        <w:rPr>
          <w:rFonts w:hint="eastAsia" w:ascii="华文中宋" w:hAnsi="华文中宋" w:eastAsia="华文中宋" w:cs="华文中宋"/>
          <w:b w:val="0"/>
          <w:bCs/>
          <w:sz w:val="44"/>
          <w:szCs w:val="44"/>
          <w:lang w:val="en-US" w:eastAsia="zh-CN"/>
        </w:rPr>
        <w:t>皖西卫生职业学院附属医院人血液标本全转录组测序及生信分析检测服务项目</w:t>
      </w:r>
      <w:r>
        <w:rPr>
          <w:rFonts w:hint="eastAsia" w:ascii="华文中宋" w:hAnsi="华文中宋" w:eastAsia="华文中宋" w:cs="华文中宋"/>
          <w:b w:val="0"/>
          <w:bCs/>
          <w:sz w:val="44"/>
          <w:szCs w:val="44"/>
        </w:rPr>
        <w:t>竞争性磋商采购公告</w:t>
      </w:r>
      <w:bookmarkEnd w:id="2"/>
      <w:bookmarkEnd w:id="3"/>
    </w:p>
    <w:p>
      <w:pPr>
        <w:pBdr>
          <w:top w:val="single" w:color="auto" w:sz="4" w:space="1"/>
          <w:left w:val="single" w:color="auto" w:sz="4" w:space="4"/>
          <w:bottom w:val="single" w:color="auto" w:sz="4" w:space="1"/>
          <w:right w:val="single" w:color="auto" w:sz="4" w:space="4"/>
        </w:pBd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项目概况：</w:t>
      </w:r>
      <w:r>
        <w:rPr>
          <w:rFonts w:hint="eastAsia" w:ascii="仿宋" w:hAnsi="仿宋" w:eastAsia="仿宋" w:cs="仿宋"/>
          <w:sz w:val="28"/>
          <w:szCs w:val="28"/>
          <w:u w:val="single"/>
          <w:lang w:val="en-US" w:eastAsia="zh-CN"/>
        </w:rPr>
        <w:t>皖西卫生职业学院附属医院人血液标本全转录组测序及生信分析检测服务项目（项目编号：WL2024-F002）</w:t>
      </w:r>
      <w:r>
        <w:rPr>
          <w:rFonts w:hint="eastAsia" w:ascii="仿宋" w:hAnsi="仿宋" w:eastAsia="仿宋" w:cs="仿宋"/>
          <w:sz w:val="28"/>
          <w:szCs w:val="28"/>
        </w:rPr>
        <w:t>的潜在供应商应在皖西卫生职业学院附属医院官网（http://www.laey.net/cn/list_2969.aspx）</w:t>
      </w:r>
      <w:r>
        <w:fldChar w:fldCharType="begin"/>
      </w:r>
      <w:r>
        <w:instrText xml:space="preserve"> HYPERLINK "http://ggzy.luan.gov.cn）获取采购文件，并于" </w:instrText>
      </w:r>
      <w:r>
        <w:fldChar w:fldCharType="separate"/>
      </w:r>
      <w:r>
        <w:rPr>
          <w:rStyle w:val="45"/>
          <w:rFonts w:hint="eastAsia" w:ascii="仿宋" w:hAnsi="仿宋" w:eastAsia="仿宋" w:cs="仿宋"/>
          <w:sz w:val="28"/>
          <w:szCs w:val="28"/>
        </w:rPr>
        <w:t>获取采购文件，并于</w:t>
      </w:r>
      <w:r>
        <w:rPr>
          <w:rStyle w:val="45"/>
          <w:rFonts w:hint="eastAsia" w:ascii="仿宋" w:hAnsi="仿宋" w:eastAsia="仿宋" w:cs="仿宋"/>
          <w:sz w:val="28"/>
          <w:szCs w:val="28"/>
        </w:rPr>
        <w:fldChar w:fldCharType="end"/>
      </w:r>
      <w:r>
        <w:rPr>
          <w:rFonts w:hint="eastAsia" w:ascii="仿宋" w:hAnsi="仿宋" w:eastAsia="仿宋" w:cs="仿宋"/>
          <w:sz w:val="28"/>
          <w:szCs w:val="28"/>
          <w:u w:val="single"/>
          <w:lang w:val="en-US" w:eastAsia="zh-CN"/>
        </w:rPr>
        <w:t>2024</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 xml:space="preserve"> </w:t>
      </w:r>
      <w:r>
        <w:rPr>
          <w:rFonts w:hint="eastAsia" w:ascii="仿宋" w:hAnsi="仿宋" w:eastAsia="仿宋" w:cs="仿宋"/>
          <w:sz w:val="28"/>
          <w:szCs w:val="28"/>
        </w:rPr>
        <w:t>点</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00</w:t>
      </w:r>
      <w:r>
        <w:rPr>
          <w:rFonts w:hint="eastAsia" w:ascii="仿宋" w:hAnsi="仿宋" w:eastAsia="仿宋" w:cs="仿宋"/>
          <w:sz w:val="28"/>
          <w:szCs w:val="28"/>
        </w:rPr>
        <w:t>分（北京时间）前提交响应文件。</w:t>
      </w:r>
    </w:p>
    <w:p>
      <w:pPr>
        <w:pStyle w:val="3"/>
        <w:adjustRightInd/>
        <w:spacing w:before="0" w:after="0" w:line="520" w:lineRule="exact"/>
        <w:jc w:val="both"/>
        <w:textAlignment w:val="auto"/>
        <w:rPr>
          <w:rFonts w:ascii="黑体" w:hAnsi="黑体" w:cs="黑体"/>
          <w:b w:val="0"/>
          <w:bCs/>
          <w:sz w:val="28"/>
          <w:szCs w:val="28"/>
        </w:rPr>
      </w:pPr>
      <w:bookmarkStart w:id="4" w:name="_Toc35393798"/>
      <w:bookmarkStart w:id="5" w:name="_Toc28359089"/>
      <w:bookmarkStart w:id="6" w:name="_Toc28359012"/>
      <w:bookmarkStart w:id="7" w:name="_Toc9864"/>
      <w:bookmarkStart w:id="8" w:name="_Toc35393629"/>
      <w:r>
        <w:rPr>
          <w:rFonts w:hint="eastAsia" w:ascii="黑体" w:hAnsi="黑体" w:cs="黑体"/>
          <w:b w:val="0"/>
          <w:bCs/>
          <w:sz w:val="28"/>
          <w:szCs w:val="28"/>
        </w:rPr>
        <w:t>一、项目基本情况</w:t>
      </w:r>
      <w:bookmarkEnd w:id="4"/>
      <w:bookmarkEnd w:id="5"/>
      <w:bookmarkEnd w:id="6"/>
      <w:bookmarkEnd w:id="7"/>
      <w:bookmarkEnd w:id="8"/>
    </w:p>
    <w:p>
      <w:pPr>
        <w:spacing w:line="52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1、项目编号：WL2024-F002</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2、项目名称：</w:t>
      </w:r>
      <w:r>
        <w:rPr>
          <w:rFonts w:hint="eastAsia" w:ascii="仿宋" w:hAnsi="仿宋" w:eastAsia="仿宋" w:cs="仿宋"/>
          <w:sz w:val="28"/>
          <w:szCs w:val="28"/>
          <w:lang w:val="en-US" w:eastAsia="zh-CN"/>
        </w:rPr>
        <w:t>皖西卫生职业学院附属医院人血液标本全转录组测序及生信分析检测服务项目</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3、项目类型：服务类</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4、采购方式：竞争性磋商 </w:t>
      </w:r>
    </w:p>
    <w:p>
      <w:pPr>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、最高限价：</w:t>
      </w:r>
      <w:r>
        <w:rPr>
          <w:rFonts w:hint="eastAsia" w:ascii="仿宋" w:hAnsi="仿宋" w:eastAsia="仿宋" w:cs="仿宋"/>
          <w:sz w:val="28"/>
          <w:szCs w:val="28"/>
          <w:lang w:val="en-US" w:eastAsia="zh-CN"/>
        </w:rPr>
        <w:t>10万元</w:t>
      </w:r>
    </w:p>
    <w:p>
      <w:pPr>
        <w:widowControl/>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、采购需求：</w:t>
      </w:r>
      <w:r>
        <w:rPr>
          <w:rFonts w:hint="eastAsia" w:ascii="仿宋" w:hAnsi="仿宋" w:eastAsia="仿宋" w:cs="仿宋"/>
          <w:sz w:val="28"/>
          <w:szCs w:val="28"/>
          <w:lang w:val="en-US" w:eastAsia="zh-CN"/>
        </w:rPr>
        <w:t>皖西卫生职业学院附属医院拟就皖西卫生职业学院附属医院人血液标本全转录组测序及生信分析检测服务项目进行竞争性磋商采购，具体内容见公告附件：项目采购需求。</w:t>
      </w:r>
    </w:p>
    <w:p>
      <w:pPr>
        <w:widowControl/>
        <w:spacing w:line="520" w:lineRule="exact"/>
        <w:ind w:firstLine="560" w:firstLineChars="200"/>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、合同履行期限：合同签订之日</w:t>
      </w:r>
      <w:r>
        <w:rPr>
          <w:rFonts w:hint="eastAsia" w:ascii="仿宋" w:hAnsi="仿宋" w:eastAsia="仿宋" w:cs="仿宋"/>
          <w:sz w:val="28"/>
          <w:szCs w:val="28"/>
          <w:lang w:val="en-US" w:eastAsia="zh-CN"/>
        </w:rPr>
        <w:t>起6</w:t>
      </w:r>
      <w:r>
        <w:rPr>
          <w:rFonts w:hint="eastAsia" w:ascii="仿宋" w:hAnsi="仿宋" w:eastAsia="仿宋" w:cs="仿宋"/>
          <w:sz w:val="28"/>
          <w:szCs w:val="28"/>
        </w:rPr>
        <w:t>0天内完成测序</w:t>
      </w:r>
      <w:r>
        <w:rPr>
          <w:rFonts w:hint="eastAsia" w:ascii="仿宋" w:hAnsi="仿宋" w:eastAsia="仿宋" w:cs="仿宋"/>
          <w:sz w:val="28"/>
          <w:szCs w:val="28"/>
          <w:lang w:val="en-US" w:eastAsia="zh-CN"/>
        </w:rPr>
        <w:t>和生信分析</w:t>
      </w:r>
      <w:r>
        <w:rPr>
          <w:rFonts w:hint="eastAsia" w:ascii="仿宋" w:hAnsi="仿宋" w:eastAsia="仿宋" w:cs="仿宋"/>
          <w:sz w:val="28"/>
          <w:szCs w:val="28"/>
        </w:rPr>
        <w:t>服务</w:t>
      </w:r>
      <w:r>
        <w:rPr>
          <w:rFonts w:hint="eastAsia" w:ascii="仿宋" w:hAnsi="仿宋" w:eastAsia="仿宋" w:cs="仿宋"/>
          <w:sz w:val="28"/>
          <w:szCs w:val="28"/>
          <w:lang w:eastAsia="zh-CN"/>
        </w:rPr>
        <w:t>，</w:t>
      </w:r>
      <w:r>
        <w:rPr>
          <w:rFonts w:hint="eastAsia" w:ascii="仿宋" w:hAnsi="仿宋" w:eastAsia="仿宋" w:cs="仿宋"/>
          <w:sz w:val="28"/>
          <w:szCs w:val="28"/>
        </w:rPr>
        <w:t>交付测序数据及</w:t>
      </w:r>
      <w:r>
        <w:rPr>
          <w:rFonts w:hint="eastAsia" w:ascii="仿宋" w:hAnsi="仿宋" w:eastAsia="仿宋" w:cs="仿宋"/>
          <w:sz w:val="28"/>
          <w:szCs w:val="28"/>
          <w:lang w:val="en-US" w:eastAsia="zh-CN"/>
        </w:rPr>
        <w:t>个性化需求</w:t>
      </w:r>
      <w:r>
        <w:rPr>
          <w:rFonts w:hint="eastAsia" w:ascii="仿宋" w:hAnsi="仿宋" w:eastAsia="仿宋" w:cs="仿宋"/>
          <w:sz w:val="28"/>
          <w:szCs w:val="28"/>
        </w:rPr>
        <w:t>服务</w:t>
      </w:r>
      <w:r>
        <w:rPr>
          <w:rFonts w:hint="eastAsia" w:ascii="仿宋" w:hAnsi="仿宋" w:eastAsia="仿宋" w:cs="仿宋"/>
          <w:sz w:val="28"/>
          <w:szCs w:val="28"/>
          <w:lang w:val="en-US" w:eastAsia="zh-CN"/>
        </w:rPr>
        <w:t>。</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、是否接受联合体：本项目不接受联合体。</w:t>
      </w:r>
    </w:p>
    <w:p>
      <w:pPr>
        <w:pStyle w:val="3"/>
        <w:adjustRightInd/>
        <w:spacing w:before="0" w:after="0" w:line="520" w:lineRule="exact"/>
        <w:jc w:val="both"/>
        <w:textAlignment w:val="auto"/>
        <w:rPr>
          <w:rFonts w:ascii="黑体" w:hAnsi="黑体" w:cs="黑体"/>
          <w:b w:val="0"/>
          <w:bCs/>
          <w:sz w:val="28"/>
          <w:szCs w:val="28"/>
        </w:rPr>
      </w:pPr>
      <w:bookmarkStart w:id="9" w:name="_Toc35393799"/>
      <w:bookmarkStart w:id="10" w:name="_Toc28359013"/>
      <w:bookmarkStart w:id="11" w:name="_Toc28359090"/>
      <w:bookmarkStart w:id="12" w:name="_Toc8072"/>
      <w:bookmarkStart w:id="13" w:name="_Toc35393630"/>
      <w:bookmarkStart w:id="14" w:name="_Toc28359091"/>
      <w:bookmarkStart w:id="15" w:name="_Toc28359014"/>
      <w:r>
        <w:rPr>
          <w:rFonts w:hint="eastAsia" w:ascii="黑体" w:hAnsi="黑体" w:cs="黑体"/>
          <w:b w:val="0"/>
          <w:bCs/>
          <w:sz w:val="28"/>
          <w:szCs w:val="28"/>
        </w:rPr>
        <w:t>二、申请人的资格要求</w:t>
      </w:r>
      <w:bookmarkEnd w:id="9"/>
      <w:bookmarkEnd w:id="10"/>
      <w:bookmarkEnd w:id="11"/>
      <w:bookmarkEnd w:id="12"/>
      <w:bookmarkEnd w:id="13"/>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2、落实政府采购政策需满足的资格要求：</w:t>
      </w:r>
      <w:r>
        <w:rPr>
          <w:rFonts w:hint="eastAsia" w:ascii="仿宋" w:hAnsi="仿宋" w:eastAsia="仿宋" w:cs="仿宋"/>
          <w:sz w:val="28"/>
          <w:szCs w:val="28"/>
          <w:lang w:val="en-US" w:eastAsia="zh-CN"/>
        </w:rPr>
        <w:t>无</w:t>
      </w:r>
    </w:p>
    <w:p>
      <w:pPr>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3、本项目的特定资格要求：</w:t>
      </w:r>
      <w:r>
        <w:rPr>
          <w:rFonts w:hint="eastAsia" w:ascii="仿宋" w:hAnsi="仿宋" w:eastAsia="仿宋" w:cs="仿宋"/>
          <w:sz w:val="28"/>
          <w:szCs w:val="28"/>
          <w:lang w:val="en-US" w:eastAsia="zh-CN"/>
        </w:rPr>
        <w:t>无。</w:t>
      </w:r>
    </w:p>
    <w:p>
      <w:pPr>
        <w:pStyle w:val="3"/>
        <w:adjustRightInd/>
        <w:spacing w:before="0" w:after="0" w:line="520" w:lineRule="exact"/>
        <w:jc w:val="both"/>
        <w:textAlignment w:val="auto"/>
        <w:rPr>
          <w:rFonts w:ascii="黑体" w:hAnsi="黑体" w:cs="黑体"/>
          <w:b w:val="0"/>
          <w:bCs/>
          <w:sz w:val="28"/>
          <w:szCs w:val="28"/>
        </w:rPr>
      </w:pPr>
      <w:bookmarkStart w:id="16" w:name="_Toc32583"/>
      <w:bookmarkStart w:id="17" w:name="_Toc35393800"/>
      <w:bookmarkStart w:id="18" w:name="_Toc35393631"/>
      <w:r>
        <w:rPr>
          <w:rFonts w:hint="eastAsia" w:ascii="黑体" w:hAnsi="黑体" w:cs="黑体"/>
          <w:b w:val="0"/>
          <w:bCs/>
          <w:sz w:val="28"/>
          <w:szCs w:val="28"/>
        </w:rPr>
        <w:t>三、获取采购文件</w:t>
      </w:r>
      <w:bookmarkEnd w:id="14"/>
      <w:bookmarkEnd w:id="15"/>
      <w:bookmarkEnd w:id="16"/>
      <w:bookmarkEnd w:id="17"/>
      <w:bookmarkEnd w:id="18"/>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w:t>
      </w:r>
      <w:r>
        <w:rPr>
          <w:rFonts w:hint="eastAsia" w:ascii="仿宋" w:hAnsi="仿宋" w:eastAsia="仿宋" w:cs="仿宋"/>
          <w:sz w:val="28"/>
          <w:szCs w:val="28"/>
          <w:lang w:val="en-US" w:eastAsia="zh-CN"/>
        </w:rPr>
        <w:t>皖西卫生职业学院附属医院人血液标本全转录组测序及生信分析检测服务项目</w:t>
      </w:r>
      <w:r>
        <w:rPr>
          <w:rFonts w:hint="eastAsia" w:ascii="仿宋" w:hAnsi="仿宋" w:eastAsia="仿宋" w:cs="仿宋"/>
          <w:kern w:val="0"/>
          <w:sz w:val="28"/>
          <w:szCs w:val="28"/>
          <w:lang w:val="en-US" w:eastAsia="zh-CN"/>
        </w:rPr>
        <w:t>的潜在投标人应在皖西卫生职业学院附属医院官网（http://www.laey.net/cn/list_2969.aspx）查看磋商公告并获取谈判文件，于</w:t>
      </w:r>
      <w:r>
        <w:rPr>
          <w:rFonts w:hint="eastAsia" w:ascii="仿宋" w:hAnsi="仿宋" w:eastAsia="仿宋" w:cs="仿宋"/>
          <w:kern w:val="0"/>
          <w:sz w:val="28"/>
          <w:szCs w:val="28"/>
          <w:u w:val="single"/>
          <w:lang w:val="en-US" w:eastAsia="zh-CN"/>
        </w:rPr>
        <w:t>2024</w:t>
      </w:r>
      <w:r>
        <w:rPr>
          <w:rFonts w:hint="eastAsia" w:ascii="仿宋" w:hAnsi="仿宋" w:eastAsia="仿宋" w:cs="仿宋"/>
          <w:kern w:val="0"/>
          <w:sz w:val="28"/>
          <w:szCs w:val="28"/>
          <w:lang w:val="en-US" w:eastAsia="zh-CN"/>
        </w:rPr>
        <w:t>年</w:t>
      </w:r>
      <w:r>
        <w:rPr>
          <w:rFonts w:hint="eastAsia" w:ascii="仿宋" w:hAnsi="仿宋" w:eastAsia="仿宋" w:cs="仿宋"/>
          <w:kern w:val="0"/>
          <w:sz w:val="28"/>
          <w:szCs w:val="28"/>
          <w:u w:val="single"/>
          <w:lang w:val="en-US" w:eastAsia="zh-CN"/>
        </w:rPr>
        <w:t>4</w:t>
      </w:r>
      <w:r>
        <w:rPr>
          <w:rFonts w:hint="eastAsia" w:ascii="仿宋" w:hAnsi="仿宋" w:eastAsia="仿宋" w:cs="仿宋"/>
          <w:kern w:val="0"/>
          <w:sz w:val="28"/>
          <w:szCs w:val="28"/>
          <w:lang w:val="en-US" w:eastAsia="zh-CN"/>
        </w:rPr>
        <w:t>月</w:t>
      </w:r>
      <w:r>
        <w:rPr>
          <w:rFonts w:hint="eastAsia" w:ascii="仿宋" w:hAnsi="仿宋" w:eastAsia="仿宋" w:cs="仿宋"/>
          <w:kern w:val="0"/>
          <w:sz w:val="28"/>
          <w:szCs w:val="28"/>
          <w:u w:val="single"/>
          <w:lang w:val="en-US" w:eastAsia="zh-CN"/>
        </w:rPr>
        <w:t>1</w:t>
      </w:r>
      <w:r>
        <w:rPr>
          <w:rFonts w:hint="eastAsia" w:ascii="仿宋" w:hAnsi="仿宋" w:eastAsia="仿宋" w:cs="仿宋"/>
          <w:kern w:val="0"/>
          <w:sz w:val="28"/>
          <w:szCs w:val="28"/>
          <w:lang w:val="en-US" w:eastAsia="zh-CN"/>
        </w:rPr>
        <w:t>日</w:t>
      </w:r>
      <w:r>
        <w:rPr>
          <w:rFonts w:hint="eastAsia" w:ascii="仿宋" w:hAnsi="仿宋" w:eastAsia="仿宋" w:cs="仿宋"/>
          <w:kern w:val="0"/>
          <w:sz w:val="28"/>
          <w:szCs w:val="28"/>
          <w:u w:val="single"/>
          <w:lang w:val="en-US" w:eastAsia="zh-CN"/>
        </w:rPr>
        <w:t>15</w:t>
      </w:r>
      <w:r>
        <w:rPr>
          <w:rFonts w:hint="eastAsia" w:ascii="仿宋" w:hAnsi="仿宋" w:eastAsia="仿宋" w:cs="仿宋"/>
          <w:kern w:val="0"/>
          <w:sz w:val="28"/>
          <w:szCs w:val="28"/>
          <w:lang w:val="en-US" w:eastAsia="zh-CN"/>
        </w:rPr>
        <w:t>点</w:t>
      </w:r>
      <w:r>
        <w:rPr>
          <w:rFonts w:hint="eastAsia" w:ascii="仿宋" w:hAnsi="仿宋" w:eastAsia="仿宋" w:cs="仿宋"/>
          <w:kern w:val="0"/>
          <w:sz w:val="28"/>
          <w:szCs w:val="28"/>
          <w:u w:val="single"/>
          <w:lang w:val="en-US" w:eastAsia="zh-CN"/>
        </w:rPr>
        <w:t>00</w:t>
      </w:r>
      <w:r>
        <w:rPr>
          <w:rFonts w:hint="eastAsia" w:ascii="仿宋" w:hAnsi="仿宋" w:eastAsia="仿宋" w:cs="仿宋"/>
          <w:kern w:val="0"/>
          <w:sz w:val="28"/>
          <w:szCs w:val="28"/>
          <w:lang w:val="en-US" w:eastAsia="zh-CN"/>
        </w:rPr>
        <w:t xml:space="preserve"> 分（北京时间）前递交响应文件。</w:t>
      </w:r>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2、磋商文件每套售价：0元/份。</w:t>
      </w:r>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3、有意向参与本项目的供应商，供应商应在皖西卫生职业学院附属医院官网（http://www.laey.net/cn/list_2969.aspx）获取补充公告和澄清文件等资料，否则，采购人不予接收供应商的响应文件。</w:t>
      </w:r>
    </w:p>
    <w:p>
      <w:pPr>
        <w:pStyle w:val="3"/>
        <w:adjustRightInd/>
        <w:spacing w:before="0" w:after="0" w:line="520" w:lineRule="exact"/>
        <w:jc w:val="both"/>
        <w:textAlignment w:val="auto"/>
        <w:rPr>
          <w:rFonts w:ascii="黑体" w:hAnsi="黑体" w:cs="黑体"/>
          <w:b w:val="0"/>
          <w:bCs/>
          <w:sz w:val="28"/>
          <w:szCs w:val="28"/>
        </w:rPr>
      </w:pPr>
      <w:bookmarkStart w:id="19" w:name="_Toc28359092"/>
      <w:bookmarkStart w:id="20" w:name="_Toc28359015"/>
      <w:bookmarkStart w:id="21" w:name="_Toc35393632"/>
      <w:bookmarkStart w:id="22" w:name="_Toc35393801"/>
      <w:bookmarkStart w:id="23" w:name="_Toc26077"/>
      <w:r>
        <w:rPr>
          <w:rFonts w:hint="eastAsia" w:ascii="黑体" w:hAnsi="黑体" w:cs="黑体"/>
          <w:b w:val="0"/>
          <w:bCs/>
          <w:sz w:val="28"/>
          <w:szCs w:val="28"/>
        </w:rPr>
        <w:t>四、响应文件</w:t>
      </w:r>
      <w:bookmarkEnd w:id="19"/>
      <w:bookmarkEnd w:id="20"/>
      <w:bookmarkEnd w:id="21"/>
      <w:bookmarkEnd w:id="22"/>
      <w:r>
        <w:rPr>
          <w:rFonts w:hint="eastAsia" w:ascii="黑体" w:hAnsi="黑体" w:cs="黑体"/>
          <w:b w:val="0"/>
          <w:bCs/>
          <w:sz w:val="28"/>
          <w:szCs w:val="28"/>
        </w:rPr>
        <w:t>提交</w:t>
      </w:r>
      <w:bookmarkEnd w:id="23"/>
    </w:p>
    <w:p>
      <w:pPr>
        <w:widowControl/>
        <w:spacing w:line="520" w:lineRule="exact"/>
        <w:ind w:firstLine="560" w:firstLineChars="200"/>
        <w:jc w:val="left"/>
        <w:rPr>
          <w:rFonts w:hint="eastAsia" w:ascii="仿宋" w:hAnsi="仿宋" w:eastAsia="仿宋" w:cs="仿宋"/>
          <w:kern w:val="0"/>
          <w:sz w:val="28"/>
          <w:szCs w:val="28"/>
          <w:lang w:val="en-US" w:eastAsia="zh-CN"/>
        </w:rPr>
      </w:pPr>
      <w:bookmarkStart w:id="24" w:name="_Toc35393633"/>
      <w:bookmarkStart w:id="25" w:name="_Toc11900"/>
      <w:bookmarkStart w:id="26" w:name="_Toc35393802"/>
      <w:bookmarkStart w:id="27" w:name="_Toc28359093"/>
      <w:bookmarkStart w:id="28" w:name="_Toc28359016"/>
      <w:r>
        <w:rPr>
          <w:rFonts w:hint="eastAsia" w:ascii="仿宋" w:hAnsi="仿宋" w:eastAsia="仿宋" w:cs="仿宋"/>
          <w:kern w:val="0"/>
          <w:sz w:val="28"/>
          <w:szCs w:val="28"/>
          <w:lang w:val="en-US" w:eastAsia="zh-CN"/>
        </w:rPr>
        <w:t>1、响应文件递交截止时间：</w:t>
      </w:r>
      <w:r>
        <w:rPr>
          <w:rFonts w:hint="eastAsia" w:ascii="仿宋" w:hAnsi="仿宋" w:eastAsia="仿宋" w:cs="仿宋"/>
          <w:kern w:val="0"/>
          <w:sz w:val="28"/>
          <w:szCs w:val="28"/>
          <w:u w:val="single"/>
          <w:lang w:val="en-US" w:eastAsia="zh-CN"/>
        </w:rPr>
        <w:t>2024</w:t>
      </w:r>
      <w:r>
        <w:rPr>
          <w:rFonts w:hint="eastAsia" w:ascii="仿宋" w:hAnsi="仿宋" w:eastAsia="仿宋" w:cs="仿宋"/>
          <w:kern w:val="0"/>
          <w:sz w:val="28"/>
          <w:szCs w:val="28"/>
          <w:lang w:val="en-US" w:eastAsia="zh-CN"/>
        </w:rPr>
        <w:t>年</w:t>
      </w:r>
      <w:r>
        <w:rPr>
          <w:rFonts w:hint="eastAsia" w:ascii="仿宋" w:hAnsi="仿宋" w:eastAsia="仿宋" w:cs="仿宋"/>
          <w:kern w:val="0"/>
          <w:sz w:val="28"/>
          <w:szCs w:val="28"/>
          <w:u w:val="single"/>
          <w:lang w:val="en-US" w:eastAsia="zh-CN"/>
        </w:rPr>
        <w:t>4</w:t>
      </w:r>
      <w:r>
        <w:rPr>
          <w:rFonts w:hint="eastAsia" w:ascii="仿宋" w:hAnsi="仿宋" w:eastAsia="仿宋" w:cs="仿宋"/>
          <w:kern w:val="0"/>
          <w:sz w:val="28"/>
          <w:szCs w:val="28"/>
          <w:lang w:val="en-US" w:eastAsia="zh-CN"/>
        </w:rPr>
        <w:t xml:space="preserve">月 </w:t>
      </w:r>
      <w:r>
        <w:rPr>
          <w:rFonts w:hint="eastAsia" w:ascii="仿宋" w:hAnsi="仿宋" w:eastAsia="仿宋" w:cs="仿宋"/>
          <w:kern w:val="0"/>
          <w:sz w:val="28"/>
          <w:szCs w:val="28"/>
          <w:u w:val="single"/>
          <w:lang w:val="en-US" w:eastAsia="zh-CN"/>
        </w:rPr>
        <w:t>1</w:t>
      </w:r>
      <w:r>
        <w:rPr>
          <w:rFonts w:hint="eastAsia" w:ascii="仿宋" w:hAnsi="仿宋" w:eastAsia="仿宋" w:cs="仿宋"/>
          <w:kern w:val="0"/>
          <w:sz w:val="28"/>
          <w:szCs w:val="28"/>
          <w:lang w:val="en-US" w:eastAsia="zh-CN"/>
        </w:rPr>
        <w:t xml:space="preserve"> 日</w:t>
      </w:r>
      <w:r>
        <w:rPr>
          <w:rFonts w:hint="eastAsia" w:ascii="仿宋" w:hAnsi="仿宋" w:eastAsia="仿宋" w:cs="仿宋"/>
          <w:kern w:val="0"/>
          <w:sz w:val="28"/>
          <w:szCs w:val="28"/>
          <w:u w:val="single"/>
          <w:lang w:val="en-US" w:eastAsia="zh-CN"/>
        </w:rPr>
        <w:t>15</w:t>
      </w:r>
      <w:r>
        <w:rPr>
          <w:rFonts w:hint="eastAsia" w:ascii="仿宋" w:hAnsi="仿宋" w:eastAsia="仿宋" w:cs="仿宋"/>
          <w:kern w:val="0"/>
          <w:sz w:val="28"/>
          <w:szCs w:val="28"/>
          <w:lang w:val="en-US" w:eastAsia="zh-CN"/>
        </w:rPr>
        <w:t xml:space="preserve">点 </w:t>
      </w:r>
      <w:r>
        <w:rPr>
          <w:rFonts w:hint="eastAsia" w:ascii="仿宋" w:hAnsi="仿宋" w:eastAsia="仿宋" w:cs="仿宋"/>
          <w:kern w:val="0"/>
          <w:sz w:val="28"/>
          <w:szCs w:val="28"/>
          <w:u w:val="single"/>
          <w:lang w:val="en-US" w:eastAsia="zh-CN"/>
        </w:rPr>
        <w:t>00</w:t>
      </w:r>
      <w:r>
        <w:rPr>
          <w:rFonts w:hint="eastAsia" w:ascii="仿宋" w:hAnsi="仿宋" w:eastAsia="仿宋" w:cs="仿宋"/>
          <w:kern w:val="0"/>
          <w:sz w:val="28"/>
          <w:szCs w:val="28"/>
          <w:lang w:val="en-US" w:eastAsia="zh-CN"/>
        </w:rPr>
        <w:t xml:space="preserve"> 分（北京时间）</w:t>
      </w:r>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2、响应文件递交方式：现场递交。</w:t>
      </w:r>
    </w:p>
    <w:p>
      <w:pPr>
        <w:widowControl/>
        <w:spacing w:line="520" w:lineRule="exact"/>
        <w:ind w:firstLine="562" w:firstLineChars="200"/>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3、响应文件递交地址：皖西卫生职业学院附属医院原行政办公楼（一号楼正后方）三楼开评标室；</w:t>
      </w:r>
    </w:p>
    <w:p>
      <w:pPr>
        <w:widowControl/>
        <w:spacing w:line="520" w:lineRule="exact"/>
        <w:ind w:firstLine="562" w:firstLineChars="200"/>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联系人：陈老师，0564-3300160。</w:t>
      </w:r>
    </w:p>
    <w:p>
      <w:pPr>
        <w:widowControl/>
        <w:spacing w:line="520" w:lineRule="exact"/>
        <w:ind w:firstLine="562" w:firstLineChars="200"/>
        <w:jc w:val="left"/>
        <w:rPr>
          <w:rFonts w:hint="eastAsia" w:ascii="仿宋" w:hAnsi="仿宋" w:eastAsia="仿宋" w:cs="仿宋"/>
          <w:kern w:val="0"/>
          <w:sz w:val="28"/>
          <w:szCs w:val="28"/>
          <w:lang w:val="en-US" w:eastAsia="zh-CN"/>
        </w:rPr>
      </w:pPr>
      <w:r>
        <w:rPr>
          <w:rFonts w:hint="eastAsia" w:ascii="仿宋" w:hAnsi="仿宋" w:eastAsia="仿宋" w:cs="仿宋"/>
          <w:b/>
          <w:bCs/>
          <w:kern w:val="0"/>
          <w:sz w:val="28"/>
          <w:szCs w:val="28"/>
          <w:lang w:val="en-US" w:eastAsia="zh-CN"/>
        </w:rPr>
        <w:t>4、注意事项：如未按要求提交响应文件或谈判时间截止后递交的文件均不予接收。造成不予接收的情况由投标供应商自行负责，采购人及采购代理机构不予承担责任。</w:t>
      </w:r>
    </w:p>
    <w:bookmarkEnd w:id="24"/>
    <w:bookmarkEnd w:id="25"/>
    <w:bookmarkEnd w:id="26"/>
    <w:bookmarkEnd w:id="27"/>
    <w:bookmarkEnd w:id="28"/>
    <w:p>
      <w:pPr>
        <w:pStyle w:val="3"/>
        <w:adjustRightInd/>
        <w:spacing w:before="0" w:after="0" w:line="520" w:lineRule="exact"/>
        <w:jc w:val="both"/>
        <w:textAlignment w:val="auto"/>
        <w:rPr>
          <w:rFonts w:ascii="黑体" w:hAnsi="黑体" w:cs="黑体"/>
          <w:b w:val="0"/>
          <w:bCs/>
          <w:sz w:val="28"/>
          <w:szCs w:val="28"/>
        </w:rPr>
      </w:pPr>
      <w:bookmarkStart w:id="29" w:name="_Toc28359017"/>
      <w:bookmarkStart w:id="30" w:name="_Toc35393634"/>
      <w:bookmarkStart w:id="31" w:name="_Toc6439"/>
      <w:bookmarkStart w:id="32" w:name="_Toc35393803"/>
      <w:bookmarkStart w:id="33" w:name="_Toc28359094"/>
      <w:r>
        <w:rPr>
          <w:rFonts w:hint="eastAsia" w:ascii="黑体" w:hAnsi="黑体" w:cs="黑体"/>
          <w:b w:val="0"/>
          <w:bCs/>
          <w:sz w:val="28"/>
          <w:szCs w:val="28"/>
          <w:lang w:val="en-US" w:eastAsia="zh-CN"/>
        </w:rPr>
        <w:t>五</w:t>
      </w:r>
      <w:r>
        <w:rPr>
          <w:rFonts w:hint="eastAsia" w:ascii="黑体" w:hAnsi="黑体" w:cs="黑体"/>
          <w:b w:val="0"/>
          <w:bCs/>
          <w:sz w:val="28"/>
          <w:szCs w:val="28"/>
        </w:rPr>
        <w:t>、公告期限</w:t>
      </w:r>
      <w:bookmarkEnd w:id="29"/>
      <w:bookmarkEnd w:id="30"/>
      <w:bookmarkEnd w:id="31"/>
      <w:bookmarkEnd w:id="32"/>
      <w:bookmarkEnd w:id="33"/>
    </w:p>
    <w:p>
      <w:pPr>
        <w:spacing w:line="52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自本公告发布之日起3个工作日。</w:t>
      </w:r>
    </w:p>
    <w:p>
      <w:pPr>
        <w:spacing w:line="520" w:lineRule="exact"/>
        <w:rPr>
          <w:rFonts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w:t>
      </w:r>
      <w:bookmarkStart w:id="34" w:name="_Toc35393635"/>
      <w:bookmarkStart w:id="35" w:name="_Toc35393804"/>
      <w:r>
        <w:rPr>
          <w:rFonts w:hint="eastAsia" w:ascii="黑体" w:hAnsi="黑体" w:eastAsia="黑体" w:cs="黑体"/>
          <w:sz w:val="28"/>
          <w:szCs w:val="28"/>
        </w:rPr>
        <w:t>其他事宜</w:t>
      </w:r>
      <w:bookmarkEnd w:id="34"/>
      <w:bookmarkEnd w:id="35"/>
      <w:bookmarkStart w:id="36" w:name="_Toc35393636"/>
      <w:bookmarkStart w:id="37" w:name="_Toc28359095"/>
      <w:bookmarkStart w:id="38" w:name="_Toc28359018"/>
      <w:bookmarkStart w:id="39" w:name="_Toc35393805"/>
    </w:p>
    <w:p>
      <w:pPr>
        <w:spacing w:line="52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磋商结束后，磋商小组将现场告知并要求所有符合条件的供应商在规定的时间内进行最后的报价。在接到二轮报价通知后，供应商必须在规定的时间内（原则上不超过15分钟）将自己在磋商中作出的澄清、变动以及最终的报价，经法定代表人或授权委托人签字盖章后，以纸质形式提交，采购人现场向磋商小组及监督部门公布。</w:t>
      </w:r>
    </w:p>
    <w:p>
      <w:pPr>
        <w:pStyle w:val="3"/>
        <w:adjustRightInd/>
        <w:spacing w:before="0" w:after="0" w:line="520" w:lineRule="exact"/>
        <w:jc w:val="both"/>
        <w:textAlignment w:val="auto"/>
        <w:rPr>
          <w:rFonts w:ascii="黑体" w:hAnsi="黑体" w:cs="黑体"/>
          <w:b w:val="0"/>
          <w:bCs/>
          <w:sz w:val="28"/>
          <w:szCs w:val="28"/>
        </w:rPr>
      </w:pPr>
      <w:bookmarkStart w:id="40" w:name="_Toc21256"/>
      <w:bookmarkStart w:id="41" w:name="_Toc7807"/>
      <w:r>
        <w:rPr>
          <w:rFonts w:hint="eastAsia" w:ascii="黑体" w:hAnsi="黑体" w:cs="黑体"/>
          <w:b w:val="0"/>
          <w:bCs/>
          <w:sz w:val="28"/>
          <w:szCs w:val="28"/>
          <w:lang w:eastAsia="zh-CN"/>
        </w:rPr>
        <w:t>七</w:t>
      </w:r>
      <w:bookmarkStart w:id="137" w:name="_GoBack"/>
      <w:bookmarkEnd w:id="137"/>
      <w:r>
        <w:rPr>
          <w:rFonts w:hint="eastAsia" w:ascii="黑体" w:hAnsi="黑体" w:cs="黑体"/>
          <w:b w:val="0"/>
          <w:bCs/>
          <w:sz w:val="28"/>
          <w:szCs w:val="28"/>
        </w:rPr>
        <w:t>、凡对本次采购提出询问，请按以下方式联系。</w:t>
      </w:r>
      <w:bookmarkEnd w:id="36"/>
      <w:bookmarkEnd w:id="37"/>
      <w:bookmarkEnd w:id="38"/>
      <w:bookmarkEnd w:id="39"/>
      <w:bookmarkEnd w:id="40"/>
      <w:bookmarkEnd w:id="41"/>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1、采购人信息</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名    称：皖西卫生职业学院附属医院</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地    址：安徽省六安市磨子谭路73号</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联系方式：</w:t>
      </w:r>
      <w:bookmarkStart w:id="42" w:name="_Toc28359097"/>
      <w:bookmarkStart w:id="43" w:name="_Toc28359020"/>
      <w:bookmarkStart w:id="44" w:name="_Toc35393638"/>
      <w:bookmarkStart w:id="45" w:name="_Toc35393807"/>
      <w:r>
        <w:rPr>
          <w:rFonts w:hint="eastAsia" w:ascii="仿宋" w:hAnsi="仿宋" w:eastAsia="仿宋" w:cs="仿宋"/>
          <w:bCs/>
          <w:sz w:val="28"/>
          <w:szCs w:val="28"/>
        </w:rPr>
        <w:t>0564-3300160</w:t>
      </w:r>
    </w:p>
    <w:p>
      <w:pPr>
        <w:spacing w:line="520" w:lineRule="exact"/>
        <w:ind w:firstLine="560" w:firstLineChars="200"/>
        <w:rPr>
          <w:rFonts w:hint="default" w:ascii="仿宋" w:hAnsi="仿宋" w:eastAsia="仿宋" w:cs="仿宋"/>
          <w:bCs/>
          <w:sz w:val="28"/>
          <w:szCs w:val="28"/>
          <w:lang w:val="en-US" w:eastAsia="zh-CN"/>
        </w:rPr>
      </w:pPr>
      <w:r>
        <w:rPr>
          <w:rFonts w:hint="default" w:ascii="仿宋" w:hAnsi="仿宋" w:eastAsia="仿宋" w:cs="仿宋"/>
          <w:bCs/>
          <w:sz w:val="28"/>
          <w:szCs w:val="28"/>
          <w:lang w:val="en-US" w:eastAsia="zh-CN"/>
        </w:rPr>
        <w:t>联系人：陈老师</w:t>
      </w:r>
    </w:p>
    <w:bookmarkEnd w:id="42"/>
    <w:bookmarkEnd w:id="43"/>
    <w:bookmarkEnd w:id="44"/>
    <w:bookmarkEnd w:id="45"/>
    <w:p>
      <w:pPr>
        <w:numPr>
          <w:ilvl w:val="0"/>
          <w:numId w:val="2"/>
        </w:numPr>
        <w:spacing w:line="520" w:lineRule="exact"/>
        <w:ind w:firstLine="560" w:firstLineChars="200"/>
        <w:rPr>
          <w:rFonts w:ascii="仿宋" w:hAnsi="仿宋" w:eastAsia="仿宋" w:cs="仿宋"/>
          <w:bCs/>
          <w:sz w:val="28"/>
          <w:szCs w:val="28"/>
        </w:rPr>
      </w:pPr>
      <w:bookmarkStart w:id="46" w:name="_Toc35393639"/>
      <w:bookmarkStart w:id="47" w:name="_Toc35393808"/>
      <w:bookmarkStart w:id="48" w:name="_Toc28359021"/>
      <w:bookmarkStart w:id="49" w:name="_Toc28359098"/>
      <w:r>
        <w:rPr>
          <w:rFonts w:hint="eastAsia" w:ascii="仿宋" w:hAnsi="仿宋" w:eastAsia="仿宋" w:cs="仿宋"/>
          <w:bCs/>
          <w:sz w:val="28"/>
          <w:szCs w:val="28"/>
        </w:rPr>
        <w:t>项目联系方式</w:t>
      </w:r>
      <w:bookmarkEnd w:id="46"/>
      <w:bookmarkEnd w:id="47"/>
      <w:bookmarkEnd w:id="48"/>
      <w:bookmarkEnd w:id="49"/>
    </w:p>
    <w:p>
      <w:pPr>
        <w:widowControl/>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rPr>
        <w:t>项目联系人：</w:t>
      </w:r>
      <w:r>
        <w:rPr>
          <w:rFonts w:hint="default" w:ascii="仿宋" w:hAnsi="仿宋" w:eastAsia="仿宋" w:cs="仿宋"/>
          <w:bCs/>
          <w:sz w:val="28"/>
          <w:szCs w:val="28"/>
          <w:lang w:val="en-US" w:eastAsia="zh-CN"/>
        </w:rPr>
        <w:t>陈老师</w:t>
      </w:r>
    </w:p>
    <w:p>
      <w:pPr>
        <w:widowControl/>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电　   话：0564-3300160</w:t>
      </w:r>
    </w:p>
    <w:p>
      <w:pPr>
        <w:pStyle w:val="33"/>
        <w:spacing w:line="520" w:lineRule="exact"/>
        <w:ind w:firstLine="0"/>
        <w:rPr>
          <w:rFonts w:ascii="仿宋" w:hAnsi="仿宋" w:eastAsia="仿宋" w:cs="仿宋"/>
          <w:bCs/>
          <w:sz w:val="28"/>
          <w:szCs w:val="28"/>
        </w:rPr>
      </w:pPr>
    </w:p>
    <w:p>
      <w:pPr>
        <w:spacing w:line="520" w:lineRule="exact"/>
        <w:jc w:val="right"/>
        <w:rPr>
          <w:rFonts w:hint="eastAsia" w:ascii="仿宋" w:hAnsi="仿宋" w:eastAsia="仿宋" w:cs="仿宋"/>
          <w:bCs/>
          <w:sz w:val="28"/>
          <w:szCs w:val="28"/>
        </w:rPr>
      </w:pPr>
      <w:r>
        <w:rPr>
          <w:rFonts w:hint="eastAsia" w:ascii="仿宋" w:hAnsi="仿宋" w:eastAsia="仿宋" w:cs="仿宋"/>
          <w:bCs/>
          <w:sz w:val="28"/>
          <w:szCs w:val="28"/>
        </w:rPr>
        <w:t>皖西卫生职业学院附属医院</w:t>
      </w:r>
    </w:p>
    <w:p>
      <w:pPr>
        <w:spacing w:line="520" w:lineRule="exact"/>
        <w:jc w:val="right"/>
        <w:rPr>
          <w:rFonts w:ascii="仿宋" w:hAnsi="仿宋" w:eastAsia="仿宋" w:cs="仿宋"/>
          <w:bCs/>
          <w:sz w:val="28"/>
          <w:szCs w:val="28"/>
        </w:rPr>
      </w:pPr>
      <w:r>
        <w:rPr>
          <w:rFonts w:hint="eastAsia" w:ascii="仿宋" w:hAnsi="仿宋" w:eastAsia="仿宋" w:cs="仿宋"/>
          <w:bCs/>
          <w:sz w:val="28"/>
          <w:szCs w:val="28"/>
          <w:lang w:val="en-US" w:eastAsia="zh-CN"/>
        </w:rPr>
        <w:t>2024</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3</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20</w:t>
      </w:r>
      <w:r>
        <w:rPr>
          <w:rFonts w:hint="eastAsia" w:ascii="仿宋" w:hAnsi="仿宋" w:eastAsia="仿宋" w:cs="仿宋"/>
          <w:bCs/>
          <w:sz w:val="28"/>
          <w:szCs w:val="28"/>
        </w:rPr>
        <w:t>日</w:t>
      </w:r>
    </w:p>
    <w:p>
      <w:pPr>
        <w:rPr>
          <w:rFonts w:ascii="宋体" w:hAnsi="宋体" w:cs="宋体"/>
          <w:sz w:val="28"/>
          <w:szCs w:val="28"/>
        </w:rPr>
      </w:pPr>
      <w:r>
        <w:rPr>
          <w:rFonts w:hint="eastAsia" w:ascii="宋体" w:hAnsi="宋体" w:cs="宋体"/>
          <w:sz w:val="28"/>
          <w:szCs w:val="28"/>
        </w:rPr>
        <w:br w:type="page"/>
      </w:r>
    </w:p>
    <w:p>
      <w:pPr>
        <w:pStyle w:val="3"/>
        <w:spacing w:before="120" w:beforeLines="50" w:after="120" w:afterLines="50" w:line="560" w:lineRule="exact"/>
        <w:jc w:val="center"/>
        <w:rPr>
          <w:rFonts w:ascii="宋体" w:hAnsi="宋体" w:eastAsia="宋体" w:cs="宋体"/>
          <w:sz w:val="28"/>
          <w:szCs w:val="28"/>
        </w:rPr>
      </w:pPr>
      <w:bookmarkStart w:id="50" w:name="_Toc21819"/>
      <w:r>
        <w:rPr>
          <w:rFonts w:hint="eastAsia" w:ascii="宋体" w:hAnsi="宋体" w:eastAsia="宋体" w:cs="宋体"/>
          <w:sz w:val="28"/>
          <w:szCs w:val="28"/>
        </w:rPr>
        <w:t>一、供应商须知</w:t>
      </w:r>
      <w:bookmarkEnd w:id="0"/>
      <w:bookmarkEnd w:id="1"/>
      <w:bookmarkEnd w:id="50"/>
    </w:p>
    <w:p>
      <w:pPr>
        <w:pStyle w:val="3"/>
        <w:spacing w:before="0" w:after="0" w:line="560" w:lineRule="exact"/>
        <w:jc w:val="center"/>
        <w:rPr>
          <w:rFonts w:ascii="宋体" w:hAnsi="宋体" w:eastAsia="宋体" w:cs="宋体"/>
          <w:sz w:val="24"/>
          <w:szCs w:val="24"/>
        </w:rPr>
      </w:pPr>
      <w:bookmarkStart w:id="51" w:name="_Toc22568"/>
      <w:r>
        <w:rPr>
          <w:rFonts w:hint="eastAsia" w:ascii="宋体" w:hAnsi="宋体" w:eastAsia="宋体" w:cs="宋体"/>
          <w:sz w:val="24"/>
          <w:szCs w:val="24"/>
        </w:rPr>
        <w:t>（一）须知前附表</w:t>
      </w:r>
      <w:bookmarkEnd w:id="51"/>
    </w:p>
    <w:tbl>
      <w:tblPr>
        <w:tblStyle w:val="35"/>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0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sz w:val="24"/>
                <w:szCs w:val="24"/>
              </w:rPr>
            </w:pPr>
            <w:bookmarkStart w:id="52" w:name="_Toc438107743"/>
            <w:bookmarkStart w:id="53" w:name="_Toc363199267"/>
            <w:bookmarkStart w:id="54" w:name="_Toc216158627"/>
            <w:r>
              <w:rPr>
                <w:rFonts w:hint="eastAsia" w:ascii="宋体" w:hAnsi="宋体"/>
                <w:b/>
                <w:sz w:val="24"/>
                <w:szCs w:val="24"/>
              </w:rPr>
              <w:t>序号</w:t>
            </w:r>
          </w:p>
        </w:tc>
        <w:tc>
          <w:tcPr>
            <w:tcW w:w="1502" w:type="dxa"/>
            <w:vAlign w:val="center"/>
          </w:tcPr>
          <w:p>
            <w:pPr>
              <w:spacing w:line="440" w:lineRule="exact"/>
              <w:jc w:val="center"/>
              <w:rPr>
                <w:rFonts w:ascii="宋体" w:hAnsi="宋体"/>
                <w:b/>
                <w:sz w:val="24"/>
                <w:szCs w:val="24"/>
              </w:rPr>
            </w:pPr>
            <w:r>
              <w:rPr>
                <w:rFonts w:hint="eastAsia" w:ascii="宋体" w:hAnsi="宋体"/>
                <w:b/>
                <w:sz w:val="24"/>
                <w:szCs w:val="24"/>
              </w:rPr>
              <w:t>内容</w:t>
            </w:r>
          </w:p>
        </w:tc>
        <w:tc>
          <w:tcPr>
            <w:tcW w:w="7308" w:type="dxa"/>
            <w:vAlign w:val="center"/>
          </w:tcPr>
          <w:p>
            <w:pPr>
              <w:pStyle w:val="96"/>
              <w:widowControl w:val="0"/>
              <w:spacing w:before="0" w:beforeAutospacing="0" w:after="0" w:afterAutospacing="0" w:line="44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w:t>
            </w:r>
          </w:p>
        </w:tc>
        <w:tc>
          <w:tcPr>
            <w:tcW w:w="1502" w:type="dxa"/>
            <w:vAlign w:val="center"/>
          </w:tcPr>
          <w:p>
            <w:pPr>
              <w:spacing w:line="440" w:lineRule="exact"/>
              <w:jc w:val="center"/>
              <w:rPr>
                <w:rFonts w:ascii="宋体" w:hAnsi="宋体"/>
                <w:sz w:val="24"/>
                <w:szCs w:val="24"/>
              </w:rPr>
            </w:pPr>
            <w:r>
              <w:rPr>
                <w:rFonts w:hint="eastAsia" w:ascii="宋体" w:hAnsi="宋体"/>
                <w:bCs/>
                <w:sz w:val="24"/>
                <w:szCs w:val="24"/>
              </w:rPr>
              <w:t>采购人</w:t>
            </w:r>
          </w:p>
        </w:tc>
        <w:tc>
          <w:tcPr>
            <w:tcW w:w="7308" w:type="dxa"/>
            <w:vAlign w:val="center"/>
          </w:tcPr>
          <w:p>
            <w:pPr>
              <w:spacing w:line="440" w:lineRule="exact"/>
              <w:rPr>
                <w:sz w:val="24"/>
                <w:szCs w:val="24"/>
              </w:rPr>
            </w:pPr>
            <w:r>
              <w:rPr>
                <w:rFonts w:hint="eastAsia"/>
                <w:sz w:val="24"/>
                <w:szCs w:val="24"/>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w:t>
            </w:r>
          </w:p>
        </w:tc>
        <w:tc>
          <w:tcPr>
            <w:tcW w:w="1502" w:type="dxa"/>
            <w:vAlign w:val="center"/>
          </w:tcPr>
          <w:p>
            <w:pPr>
              <w:spacing w:line="440" w:lineRule="exact"/>
              <w:jc w:val="center"/>
              <w:rPr>
                <w:rFonts w:ascii="宋体" w:hAnsi="宋体"/>
                <w:bCs/>
                <w:sz w:val="24"/>
                <w:szCs w:val="24"/>
              </w:rPr>
            </w:pPr>
            <w:r>
              <w:rPr>
                <w:rFonts w:hint="eastAsia" w:ascii="宋体" w:hAnsi="宋体"/>
                <w:sz w:val="24"/>
                <w:szCs w:val="24"/>
              </w:rPr>
              <w:t>采购代理机构</w:t>
            </w:r>
          </w:p>
        </w:tc>
        <w:tc>
          <w:tcPr>
            <w:tcW w:w="7308" w:type="dxa"/>
            <w:vAlign w:val="center"/>
          </w:tcPr>
          <w:p>
            <w:pPr>
              <w:spacing w:line="440" w:lineRule="exact"/>
              <w:jc w:val="left"/>
              <w:rPr>
                <w:rFonts w:hint="eastAsia" w:eastAsia="宋体"/>
                <w:b/>
                <w:bCs/>
                <w:sz w:val="24"/>
                <w:szCs w:val="24"/>
                <w:lang w:eastAsia="zh-CN"/>
              </w:rPr>
            </w:pPr>
            <w:r>
              <w:rPr>
                <w:rFonts w:hint="eastAsia" w:ascii="宋体" w:hAnsi="宋体"/>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3</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磋商有效期</w:t>
            </w:r>
          </w:p>
        </w:tc>
        <w:tc>
          <w:tcPr>
            <w:tcW w:w="7308" w:type="dxa"/>
            <w:vAlign w:val="center"/>
          </w:tcPr>
          <w:p>
            <w:pPr>
              <w:pStyle w:val="96"/>
              <w:widowControl w:val="0"/>
              <w:spacing w:before="0" w:beforeAutospacing="0" w:after="0" w:afterAutospacing="0" w:line="440" w:lineRule="exact"/>
              <w:jc w:val="both"/>
              <w:rPr>
                <w:b w:val="0"/>
                <w:bCs w:val="0"/>
                <w:sz w:val="24"/>
                <w:szCs w:val="24"/>
              </w:rPr>
            </w:pPr>
            <w:r>
              <w:rPr>
                <w:rFonts w:hint="eastAsia"/>
                <w:b w:val="0"/>
                <w:bCs w:val="0"/>
                <w:sz w:val="24"/>
                <w:szCs w:val="24"/>
              </w:rPr>
              <w:t>响应文件提交截止日后30天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4</w:t>
            </w:r>
          </w:p>
        </w:tc>
        <w:tc>
          <w:tcPr>
            <w:tcW w:w="1502" w:type="dxa"/>
            <w:vAlign w:val="center"/>
          </w:tcPr>
          <w:p>
            <w:pPr>
              <w:spacing w:line="440" w:lineRule="exact"/>
              <w:jc w:val="center"/>
              <w:rPr>
                <w:rFonts w:ascii="宋体" w:hAnsi="宋体"/>
                <w:b/>
                <w:sz w:val="24"/>
                <w:szCs w:val="24"/>
              </w:rPr>
            </w:pPr>
            <w:r>
              <w:rPr>
                <w:rFonts w:hint="eastAsia" w:ascii="宋体" w:hAnsi="宋体"/>
                <w:b/>
                <w:sz w:val="24"/>
                <w:szCs w:val="24"/>
              </w:rPr>
              <w:t>项目类型</w:t>
            </w:r>
          </w:p>
        </w:tc>
        <w:tc>
          <w:tcPr>
            <w:tcW w:w="7308" w:type="dxa"/>
            <w:vAlign w:val="center"/>
          </w:tcPr>
          <w:p>
            <w:pPr>
              <w:pStyle w:val="96"/>
              <w:widowControl w:val="0"/>
              <w:spacing w:before="0" w:beforeAutospacing="0" w:after="0" w:afterAutospacing="0" w:line="440" w:lineRule="exact"/>
              <w:jc w:val="both"/>
              <w:rPr>
                <w:b w:val="0"/>
                <w:bCs w:val="0"/>
                <w:sz w:val="24"/>
                <w:szCs w:val="24"/>
              </w:rPr>
            </w:pPr>
            <w:r>
              <w:rPr>
                <w:rFonts w:hint="eastAsia"/>
                <w:b w:val="0"/>
                <w:bCs w:val="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5</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308" w:type="dxa"/>
            <w:vAlign w:val="center"/>
          </w:tcPr>
          <w:p>
            <w:pPr>
              <w:pStyle w:val="96"/>
              <w:widowControl w:val="0"/>
              <w:spacing w:before="0" w:beforeAutospacing="0" w:after="0" w:afterAutospacing="0" w:line="440" w:lineRule="exact"/>
              <w:jc w:val="both"/>
              <w:rPr>
                <w:sz w:val="24"/>
                <w:szCs w:val="24"/>
              </w:rPr>
            </w:pPr>
            <w:r>
              <w:rPr>
                <w:rFonts w:hint="eastAsia"/>
                <w:sz w:val="24"/>
                <w:szCs w:val="24"/>
                <w:lang w:val="en-US" w:eastAsia="zh-CN"/>
              </w:rPr>
              <w:t>皖西卫生职业学院附属医院人血液标本全转录组测序及生信分析检测服务项目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6</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7308" w:type="dxa"/>
            <w:vAlign w:val="center"/>
          </w:tcPr>
          <w:p>
            <w:pPr>
              <w:pStyle w:val="96"/>
              <w:widowControl w:val="0"/>
              <w:spacing w:before="0" w:beforeAutospacing="0" w:after="0" w:afterAutospacing="0" w:line="440" w:lineRule="exact"/>
              <w:jc w:val="both"/>
              <w:rPr>
                <w:rFonts w:hint="eastAsia" w:eastAsia="宋体"/>
                <w:b w:val="0"/>
                <w:sz w:val="24"/>
                <w:szCs w:val="24"/>
                <w:lang w:eastAsia="zh-CN"/>
              </w:rPr>
            </w:pPr>
            <w:r>
              <w:rPr>
                <w:rFonts w:hint="eastAsia" w:eastAsia="宋体"/>
                <w:b w:val="0"/>
                <w:sz w:val="24"/>
                <w:szCs w:val="24"/>
                <w:lang w:eastAsia="zh-CN"/>
              </w:rPr>
              <w:t>WL2024-F002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7"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7</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付款方式</w:t>
            </w:r>
          </w:p>
        </w:tc>
        <w:tc>
          <w:tcPr>
            <w:tcW w:w="7308" w:type="dxa"/>
            <w:vAlign w:val="center"/>
          </w:tcPr>
          <w:p>
            <w:pPr>
              <w:pStyle w:val="96"/>
              <w:widowControl w:val="0"/>
              <w:spacing w:before="0" w:beforeAutospacing="0" w:after="0" w:afterAutospacing="0" w:line="440" w:lineRule="exact"/>
              <w:jc w:val="both"/>
              <w:rPr>
                <w:rFonts w:hint="default" w:ascii="黑体" w:hAnsi="黑体" w:eastAsia="黑体" w:cs="黑体"/>
                <w:sz w:val="24"/>
                <w:szCs w:val="24"/>
                <w:highlight w:val="none"/>
                <w:lang w:val="en-US" w:eastAsia="zh-CN"/>
              </w:rPr>
            </w:pPr>
            <w:r>
              <w:rPr>
                <w:rFonts w:hint="eastAsia" w:cs="Times New Roman"/>
                <w:b w:val="0"/>
                <w:bCs w:val="0"/>
                <w:color w:val="auto"/>
                <w:kern w:val="2"/>
                <w:sz w:val="24"/>
                <w:szCs w:val="24"/>
                <w:highlight w:val="none"/>
                <w:lang w:val="en-US" w:eastAsia="zh-CN" w:bidi="ar-SA"/>
              </w:rPr>
              <w:t>项目</w:t>
            </w:r>
            <w:r>
              <w:rPr>
                <w:rFonts w:hint="default" w:ascii="宋体" w:hAnsi="宋体" w:eastAsia="宋体" w:cs="Times New Roman"/>
                <w:b w:val="0"/>
                <w:bCs w:val="0"/>
                <w:color w:val="auto"/>
                <w:kern w:val="2"/>
                <w:sz w:val="24"/>
                <w:szCs w:val="24"/>
                <w:highlight w:val="none"/>
                <w:lang w:val="en-US" w:eastAsia="zh-CN" w:bidi="ar-SA"/>
              </w:rPr>
              <w:t>完成并经业主验收合格后一次性付</w:t>
            </w:r>
            <w:r>
              <w:rPr>
                <w:rFonts w:hint="eastAsia" w:cs="Times New Roman"/>
                <w:b w:val="0"/>
                <w:bCs w:val="0"/>
                <w:color w:val="auto"/>
                <w:kern w:val="2"/>
                <w:sz w:val="24"/>
                <w:szCs w:val="24"/>
                <w:highlight w:val="none"/>
                <w:lang w:val="en-US" w:eastAsia="zh-CN" w:bidi="ar-SA"/>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8</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服务期</w:t>
            </w:r>
          </w:p>
        </w:tc>
        <w:tc>
          <w:tcPr>
            <w:tcW w:w="7308" w:type="dxa"/>
            <w:vAlign w:val="center"/>
          </w:tcPr>
          <w:p>
            <w:pPr>
              <w:pStyle w:val="96"/>
              <w:widowControl w:val="0"/>
              <w:spacing w:before="0" w:beforeAutospacing="0" w:after="0" w:afterAutospacing="0" w:line="440" w:lineRule="exact"/>
              <w:jc w:val="both"/>
              <w:rPr>
                <w:b w:val="0"/>
                <w:bCs w:val="0"/>
                <w:sz w:val="24"/>
                <w:szCs w:val="24"/>
              </w:rPr>
            </w:pPr>
            <w:r>
              <w:rPr>
                <w:rFonts w:hint="eastAsia"/>
                <w:b w:val="0"/>
                <w:bCs w:val="0"/>
                <w:sz w:val="24"/>
                <w:szCs w:val="24"/>
                <w:lang w:val="en-US" w:eastAsia="zh-CN"/>
              </w:rPr>
              <w:t>合同签订之日起60天内完成测序和生信分析服务，交付测序数据及个性化需求服务。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9</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szCs w:val="24"/>
              </w:rPr>
            </w:pPr>
            <w:r>
              <w:rPr>
                <w:rFonts w:hint="eastAsia" w:ascii="宋体" w:hAnsi="宋体"/>
                <w:bCs/>
                <w:kern w:val="2"/>
                <w:szCs w:val="24"/>
              </w:rPr>
              <w:t>中标服务费</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hint="eastAsia" w:eastAsia="宋体"/>
                <w:bCs/>
                <w:szCs w:val="24"/>
                <w:lang w:val="en-US" w:eastAsia="zh-CN"/>
              </w:rPr>
            </w:pPr>
            <w:r>
              <w:rPr>
                <w:rFonts w:hint="eastAsia"/>
                <w:bCs/>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4"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10</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履约保证金</w:t>
            </w:r>
          </w:p>
        </w:tc>
        <w:tc>
          <w:tcPr>
            <w:tcW w:w="7308" w:type="dxa"/>
            <w:vAlign w:val="center"/>
          </w:tcPr>
          <w:p>
            <w:pPr>
              <w:pStyle w:val="33"/>
              <w:ind w:firstLine="0"/>
              <w:rPr>
                <w:rFonts w:hint="default" w:eastAsia="宋体"/>
                <w:highlight w:val="none"/>
                <w:lang w:val="en-US" w:eastAsia="zh-CN"/>
              </w:rPr>
            </w:pPr>
            <w:r>
              <w:rPr>
                <w:rFonts w:hint="eastAsia" w:ascii="宋体" w:hAnsi="宋体" w:cs="宋体"/>
                <w:bCs/>
                <w:color w:val="auto"/>
                <w:sz w:val="24"/>
                <w:szCs w:val="32"/>
                <w:highlight w:val="none"/>
                <w:lang w:val="en-US" w:eastAsia="zh-CN"/>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11</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勘察及对接</w:t>
            </w:r>
          </w:p>
        </w:tc>
        <w:tc>
          <w:tcPr>
            <w:tcW w:w="7308" w:type="dxa"/>
            <w:vAlign w:val="center"/>
          </w:tcPr>
          <w:p>
            <w:pPr>
              <w:pStyle w:val="94"/>
              <w:pBdr>
                <w:bottom w:val="none" w:color="auto" w:sz="0" w:space="0"/>
              </w:pBdr>
              <w:tabs>
                <w:tab w:val="clear" w:pos="4153"/>
                <w:tab w:val="clear" w:pos="8306"/>
              </w:tabs>
              <w:adjustRightInd/>
              <w:spacing w:line="400" w:lineRule="exact"/>
              <w:jc w:val="both"/>
              <w:textAlignment w:val="auto"/>
              <w:rPr>
                <w:rFonts w:ascii="宋体" w:hAnsi="宋体"/>
                <w:bCs/>
                <w:kern w:val="2"/>
                <w:szCs w:val="24"/>
              </w:rPr>
            </w:pPr>
            <w:r>
              <w:rPr>
                <w:rFonts w:hint="eastAsia" w:ascii="宋体" w:hAnsi="宋体" w:cs="宋体"/>
                <w:bCs/>
                <w:kern w:val="2"/>
                <w:szCs w:val="24"/>
              </w:rPr>
              <w:t>请各供应商联系采购单位自行勘踏，采购人免费提供项目实施过程中各项对接协调服务。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4"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12</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提问与回复</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kern w:val="2"/>
                <w:szCs w:val="24"/>
              </w:rPr>
              <w:t>供应商如果对采购文件内容有相关疑问，向采购人以书面形式提出（联系方式见</w:t>
            </w:r>
            <w:r>
              <w:rPr>
                <w:rFonts w:hint="eastAsia" w:ascii="宋体" w:hAnsi="宋体"/>
                <w:bCs/>
                <w:kern w:val="2"/>
                <w:szCs w:val="24"/>
                <w:lang w:val="en-US" w:eastAsia="zh-CN"/>
              </w:rPr>
              <w:t>磋商</w:t>
            </w:r>
            <w:r>
              <w:rPr>
                <w:rFonts w:hint="eastAsia" w:ascii="宋体" w:hAnsi="宋体"/>
                <w:bCs/>
                <w:kern w:val="2"/>
                <w:szCs w:val="24"/>
              </w:rPr>
              <w:t>公告）。采购人对</w:t>
            </w:r>
            <w:r>
              <w:rPr>
                <w:rFonts w:hint="eastAsia" w:ascii="宋体" w:hAnsi="宋体"/>
                <w:bCs/>
                <w:kern w:val="2"/>
                <w:szCs w:val="24"/>
                <w:lang w:val="en-US" w:eastAsia="zh-CN"/>
              </w:rPr>
              <w:t>磋商</w:t>
            </w:r>
            <w:r>
              <w:rPr>
                <w:rFonts w:hint="eastAsia" w:ascii="宋体" w:hAnsi="宋体"/>
                <w:bCs/>
                <w:kern w:val="2"/>
                <w:szCs w:val="24"/>
              </w:rPr>
              <w:t>文件进行的澄清、更正或更改，将在网站上及时发布，该公告内容为</w:t>
            </w:r>
            <w:r>
              <w:rPr>
                <w:rFonts w:hint="eastAsia" w:ascii="宋体" w:hAnsi="宋体"/>
                <w:bCs/>
                <w:kern w:val="2"/>
                <w:szCs w:val="24"/>
                <w:lang w:val="en-US" w:eastAsia="zh-CN"/>
              </w:rPr>
              <w:t>磋商</w:t>
            </w:r>
            <w:r>
              <w:rPr>
                <w:rFonts w:hint="eastAsia" w:ascii="宋体" w:hAnsi="宋体"/>
                <w:bCs/>
                <w:kern w:val="2"/>
                <w:szCs w:val="24"/>
              </w:rPr>
              <w:t>文件的组成部分，对投标人具有同样约束力效力。投标人应主动上网查询，投标人须自行承担因未及时关注相关信息而引发的相关责任。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3</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响应文件份数及要求</w:t>
            </w:r>
          </w:p>
        </w:tc>
        <w:tc>
          <w:tcPr>
            <w:tcW w:w="7308" w:type="dxa"/>
            <w:vAlign w:val="center"/>
          </w:tcPr>
          <w:p>
            <w:pPr>
              <w:pStyle w:val="94"/>
              <w:numPr>
                <w:ilvl w:val="0"/>
                <w:numId w:val="0"/>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lang w:val="en-US" w:eastAsia="zh-CN"/>
              </w:rPr>
              <w:t>1、</w:t>
            </w:r>
            <w:r>
              <w:rPr>
                <w:rFonts w:hint="eastAsia" w:ascii="宋体" w:hAnsi="宋体" w:cs="宋体"/>
                <w:bCs/>
                <w:kern w:val="2"/>
                <w:szCs w:val="24"/>
              </w:rPr>
              <w:t>份数：一正三副</w:t>
            </w:r>
          </w:p>
          <w:p>
            <w:pPr>
              <w:jc w:val="left"/>
              <w:textAlignment w:val="center"/>
              <w:rPr>
                <w:rFonts w:ascii="宋体" w:hAnsi="宋体"/>
                <w:sz w:val="24"/>
              </w:rPr>
            </w:pPr>
            <w:r>
              <w:rPr>
                <w:rFonts w:hint="eastAsia" w:ascii="宋体" w:hAnsi="宋体"/>
                <w:sz w:val="24"/>
              </w:rPr>
              <w:t>2、封套上要求写明：</w:t>
            </w:r>
          </w:p>
          <w:p>
            <w:pPr>
              <w:jc w:val="left"/>
              <w:textAlignment w:val="center"/>
              <w:rPr>
                <w:rFonts w:ascii="宋体" w:hAnsi="宋体"/>
                <w:sz w:val="24"/>
              </w:rPr>
            </w:pPr>
            <w:r>
              <w:rPr>
                <w:rFonts w:hint="eastAsia" w:ascii="宋体" w:hAnsi="宋体"/>
                <w:sz w:val="24"/>
              </w:rPr>
              <w:t>招标人名称：</w:t>
            </w:r>
          </w:p>
          <w:p>
            <w:pPr>
              <w:jc w:val="left"/>
              <w:textAlignment w:val="center"/>
              <w:rPr>
                <w:rFonts w:ascii="宋体" w:hAnsi="宋体"/>
                <w:sz w:val="24"/>
              </w:rPr>
            </w:pPr>
            <w:r>
              <w:rPr>
                <w:rFonts w:hint="eastAsia" w:ascii="宋体" w:hAnsi="宋体"/>
                <w:sz w:val="24"/>
              </w:rPr>
              <w:t>招标人地址：</w:t>
            </w:r>
          </w:p>
          <w:p>
            <w:pPr>
              <w:jc w:val="left"/>
              <w:textAlignment w:val="center"/>
              <w:rPr>
                <w:rFonts w:ascii="宋体" w:hAnsi="宋体"/>
                <w:sz w:val="24"/>
              </w:rPr>
            </w:pPr>
            <w:r>
              <w:rPr>
                <w:rFonts w:hint="eastAsia" w:ascii="宋体" w:hAnsi="宋体"/>
                <w:sz w:val="24"/>
              </w:rPr>
              <w:t xml:space="preserve">       (项目名称)      响应文件</w:t>
            </w:r>
          </w:p>
          <w:p>
            <w:pPr>
              <w:jc w:val="left"/>
              <w:textAlignment w:val="center"/>
              <w:rPr>
                <w:rFonts w:ascii="宋体" w:hAnsi="宋体"/>
                <w:sz w:val="24"/>
              </w:rPr>
            </w:pPr>
            <w:r>
              <w:rPr>
                <w:rFonts w:hint="eastAsia" w:ascii="宋体" w:hAnsi="宋体"/>
                <w:sz w:val="24"/>
              </w:rPr>
              <w:t>（</w:t>
            </w:r>
            <w:r>
              <w:rPr>
                <w:rFonts w:hint="eastAsia" w:ascii="宋体" w:hAnsi="宋体"/>
                <w:sz w:val="24"/>
                <w:lang w:val="en-US" w:eastAsia="zh-CN"/>
              </w:rPr>
              <w:t>项目</w:t>
            </w:r>
            <w:r>
              <w:rPr>
                <w:rFonts w:hint="eastAsia" w:ascii="宋体" w:hAnsi="宋体"/>
                <w:sz w:val="24"/>
              </w:rPr>
              <w:t>编号：         ）</w:t>
            </w:r>
          </w:p>
          <w:p>
            <w:pPr>
              <w:jc w:val="left"/>
              <w:textAlignment w:val="center"/>
              <w:rPr>
                <w:rFonts w:ascii="宋体" w:hAnsi="宋体"/>
                <w:sz w:val="24"/>
              </w:rPr>
            </w:pPr>
            <w:r>
              <w:rPr>
                <w:rFonts w:hint="eastAsia" w:ascii="宋体" w:hAnsi="宋体"/>
                <w:sz w:val="24"/>
              </w:rPr>
              <w:t>在    年   月   日    时   分前不得拆封</w:t>
            </w:r>
          </w:p>
          <w:p>
            <w:pPr>
              <w:jc w:val="left"/>
              <w:textAlignment w:val="center"/>
              <w:rPr>
                <w:rFonts w:ascii="宋体" w:hAnsi="宋体"/>
                <w:sz w:val="24"/>
              </w:rPr>
            </w:pPr>
            <w:r>
              <w:rPr>
                <w:rFonts w:hint="eastAsia" w:ascii="宋体" w:hAnsi="宋体"/>
                <w:sz w:val="24"/>
              </w:rPr>
              <w:t>供应商名称（盖单位公章）：</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4</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递交投标文件注意事项</w:t>
            </w:r>
          </w:p>
        </w:tc>
        <w:tc>
          <w:tcPr>
            <w:tcW w:w="7308" w:type="dxa"/>
            <w:vAlign w:val="center"/>
          </w:tcPr>
          <w:p>
            <w:pPr>
              <w:pStyle w:val="94"/>
              <w:pBdr>
                <w:bottom w:val="none" w:color="auto" w:sz="0" w:space="0"/>
              </w:pBdr>
              <w:tabs>
                <w:tab w:val="clear" w:pos="4153"/>
                <w:tab w:val="clear" w:pos="8306"/>
              </w:tabs>
              <w:adjustRightInd/>
              <w:spacing w:line="460" w:lineRule="exact"/>
              <w:jc w:val="left"/>
              <w:rPr>
                <w:rFonts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rPr>
              <w:t>响应</w:t>
            </w:r>
            <w:r>
              <w:rPr>
                <w:rFonts w:hint="eastAsia" w:ascii="宋体" w:hAnsi="宋体" w:cs="宋体"/>
                <w:bCs/>
                <w:kern w:val="2"/>
                <w:szCs w:val="24"/>
              </w:rPr>
              <w:t>文件必须在响应截止时间前在</w:t>
            </w:r>
            <w:r>
              <w:rPr>
                <w:rFonts w:hint="eastAsia" w:ascii="宋体" w:hAnsi="宋体" w:cs="宋体"/>
                <w:bCs/>
                <w:kern w:val="2"/>
                <w:szCs w:val="24"/>
                <w:lang w:val="en-US" w:eastAsia="zh-CN"/>
              </w:rPr>
              <w:t>现场纸质递交</w:t>
            </w:r>
            <w:r>
              <w:rPr>
                <w:rFonts w:hint="eastAsia" w:ascii="宋体" w:hAnsi="宋体" w:cs="宋体"/>
                <w:b/>
                <w:kern w:val="2"/>
                <w:szCs w:val="24"/>
              </w:rPr>
              <w:t>。</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lang w:val="en-US"/>
              </w:rPr>
              <w:t>2</w:t>
            </w:r>
            <w:r>
              <w:rPr>
                <w:rFonts w:hint="eastAsia" w:ascii="宋体" w:hAnsi="宋体"/>
                <w:bCs/>
                <w:kern w:val="2"/>
                <w:szCs w:val="24"/>
              </w:rPr>
              <w:t>、</w:t>
            </w:r>
            <w:r>
              <w:rPr>
                <w:rFonts w:hint="eastAsia" w:ascii="宋体" w:hAnsi="宋体"/>
                <w:bCs/>
                <w:kern w:val="2"/>
                <w:szCs w:val="24"/>
                <w:lang w:val="en-US"/>
              </w:rPr>
              <w:t>供应商应在响应文件密封袋中提供</w:t>
            </w:r>
            <w:r>
              <w:rPr>
                <w:rFonts w:hint="eastAsia" w:ascii="宋体" w:hAnsi="宋体"/>
                <w:b/>
                <w:kern w:val="2"/>
                <w:szCs w:val="24"/>
                <w:lang w:val="en-US"/>
              </w:rPr>
              <w:t>电子版响应文件（U盘</w:t>
            </w:r>
            <w:r>
              <w:rPr>
                <w:rFonts w:hint="eastAsia" w:ascii="宋体" w:hAnsi="宋体"/>
                <w:b/>
                <w:kern w:val="2"/>
                <w:szCs w:val="24"/>
                <w:lang w:val="en-US" w:eastAsia="zh-CN"/>
              </w:rPr>
              <w:t>或光盘</w:t>
            </w:r>
            <w:r>
              <w:rPr>
                <w:rFonts w:hint="eastAsia" w:ascii="宋体" w:hAnsi="宋体"/>
                <w:b/>
                <w:kern w:val="2"/>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5</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备注一</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1、存在以下不良信用记录情形之一的，不得推荐为成交候选供应商,评审时磋商小组应当按照下列第3条不良信用记录查询渠道对供应商是否存在不良信用记录进行查询：</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（2）供应商被市场监督管理部门列入企业经营异常名录的；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6</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备注二</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17</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响应保证金</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本项目无需提供</w:t>
            </w:r>
          </w:p>
        </w:tc>
      </w:tr>
    </w:tbl>
    <w:p>
      <w:pPr>
        <w:rPr>
          <w:rFonts w:ascii="宋体" w:hAnsi="宋体" w:cs="宋体"/>
          <w:szCs w:val="24"/>
        </w:rPr>
      </w:pPr>
    </w:p>
    <w:p>
      <w:pPr>
        <w:rPr>
          <w:rFonts w:ascii="宋体" w:hAnsi="宋体" w:cs="宋体"/>
          <w:sz w:val="24"/>
          <w:szCs w:val="24"/>
        </w:rPr>
      </w:pPr>
    </w:p>
    <w:p>
      <w:pPr>
        <w:pStyle w:val="3"/>
        <w:spacing w:before="120" w:beforeLines="50" w:after="120" w:afterLines="50" w:line="520" w:lineRule="exact"/>
        <w:jc w:val="center"/>
        <w:rPr>
          <w:rFonts w:ascii="宋体" w:hAnsi="宋体" w:eastAsia="宋体" w:cs="宋体"/>
          <w:sz w:val="24"/>
          <w:szCs w:val="24"/>
        </w:rPr>
      </w:pPr>
      <w:bookmarkStart w:id="55" w:name="_Toc14333"/>
      <w:r>
        <w:rPr>
          <w:rFonts w:hint="eastAsia" w:ascii="宋体" w:hAnsi="宋体" w:eastAsia="宋体" w:cs="宋体"/>
          <w:sz w:val="24"/>
          <w:szCs w:val="24"/>
        </w:rPr>
        <w:t>（二）供应商资格</w:t>
      </w:r>
      <w:bookmarkEnd w:id="55"/>
    </w:p>
    <w:bookmarkEnd w:id="52"/>
    <w:p>
      <w:pPr>
        <w:pStyle w:val="33"/>
        <w:spacing w:line="520" w:lineRule="exact"/>
        <w:ind w:firstLine="480" w:firstLineChars="200"/>
      </w:pPr>
      <w:bookmarkStart w:id="56" w:name="_Toc363199266"/>
      <w:bookmarkStart w:id="57" w:name="_Toc216158625"/>
      <w:bookmarkStart w:id="58" w:name="_Toc438648662"/>
      <w:r>
        <w:rPr>
          <w:rFonts w:hint="eastAsia"/>
        </w:rPr>
        <w:t>见本项目采购公告</w:t>
      </w:r>
    </w:p>
    <w:p>
      <w:pPr>
        <w:pStyle w:val="3"/>
        <w:spacing w:before="120" w:beforeLines="50" w:after="120" w:afterLines="50" w:line="520" w:lineRule="exact"/>
        <w:jc w:val="center"/>
        <w:rPr>
          <w:rFonts w:ascii="宋体" w:hAnsi="宋体" w:eastAsia="宋体" w:cs="宋体"/>
          <w:sz w:val="24"/>
          <w:szCs w:val="24"/>
        </w:rPr>
      </w:pPr>
      <w:bookmarkStart w:id="59" w:name="_Toc9435"/>
      <w:r>
        <w:rPr>
          <w:rFonts w:hint="eastAsia" w:ascii="宋体" w:hAnsi="宋体" w:eastAsia="宋体" w:cs="宋体"/>
          <w:sz w:val="24"/>
          <w:szCs w:val="24"/>
        </w:rPr>
        <w:t>（三）供应商必须提交的响应文件内容</w:t>
      </w:r>
      <w:bookmarkEnd w:id="56"/>
      <w:bookmarkEnd w:id="57"/>
      <w:bookmarkEnd w:id="58"/>
      <w:bookmarkEnd w:id="59"/>
    </w:p>
    <w:p>
      <w:pPr>
        <w:spacing w:line="520" w:lineRule="exact"/>
        <w:ind w:firstLine="480" w:firstLineChars="200"/>
        <w:jc w:val="left"/>
        <w:rPr>
          <w:rFonts w:ascii="宋体" w:hAnsi="宋体"/>
          <w:sz w:val="24"/>
          <w:szCs w:val="24"/>
        </w:rPr>
      </w:pPr>
      <w:r>
        <w:rPr>
          <w:rFonts w:hint="eastAsia" w:ascii="宋体" w:hAnsi="宋体"/>
          <w:sz w:val="24"/>
          <w:szCs w:val="24"/>
        </w:rPr>
        <w:t>1、报价单；</w:t>
      </w:r>
    </w:p>
    <w:p>
      <w:pPr>
        <w:spacing w:line="520" w:lineRule="exact"/>
        <w:ind w:firstLine="480" w:firstLineChars="200"/>
        <w:jc w:val="left"/>
        <w:rPr>
          <w:rFonts w:ascii="宋体" w:hAnsi="宋体"/>
          <w:sz w:val="24"/>
          <w:szCs w:val="24"/>
        </w:rPr>
      </w:pPr>
      <w:r>
        <w:rPr>
          <w:rFonts w:hint="eastAsia" w:ascii="宋体" w:hAnsi="宋体"/>
          <w:sz w:val="24"/>
          <w:szCs w:val="24"/>
        </w:rPr>
        <w:t>2、供应商基本信息；</w:t>
      </w:r>
    </w:p>
    <w:p>
      <w:pPr>
        <w:spacing w:line="520" w:lineRule="exact"/>
        <w:ind w:firstLine="480" w:firstLineChars="200"/>
        <w:jc w:val="left"/>
        <w:rPr>
          <w:rFonts w:ascii="宋体" w:hAnsi="宋体"/>
          <w:sz w:val="24"/>
          <w:szCs w:val="24"/>
        </w:rPr>
      </w:pPr>
      <w:r>
        <w:rPr>
          <w:rFonts w:hint="eastAsia" w:ascii="宋体" w:hAnsi="宋体"/>
          <w:sz w:val="24"/>
          <w:szCs w:val="24"/>
        </w:rPr>
        <w:t>3、磋商授权书；</w:t>
      </w:r>
    </w:p>
    <w:p>
      <w:pPr>
        <w:spacing w:line="520" w:lineRule="exact"/>
        <w:ind w:firstLine="480" w:firstLineChars="200"/>
        <w:jc w:val="left"/>
        <w:rPr>
          <w:rFonts w:ascii="宋体" w:hAnsi="宋体"/>
          <w:sz w:val="24"/>
          <w:szCs w:val="24"/>
        </w:rPr>
      </w:pPr>
      <w:r>
        <w:rPr>
          <w:rFonts w:hint="eastAsia" w:ascii="宋体" w:hAnsi="宋体"/>
          <w:sz w:val="24"/>
          <w:szCs w:val="24"/>
        </w:rPr>
        <w:t>4、磋商响应函；</w:t>
      </w:r>
    </w:p>
    <w:p>
      <w:pPr>
        <w:spacing w:line="520" w:lineRule="exact"/>
        <w:ind w:firstLine="480" w:firstLineChars="200"/>
        <w:jc w:val="left"/>
        <w:rPr>
          <w:rFonts w:ascii="宋体" w:hAnsi="宋体"/>
          <w:sz w:val="24"/>
          <w:szCs w:val="24"/>
        </w:rPr>
      </w:pPr>
      <w:r>
        <w:rPr>
          <w:rFonts w:hint="eastAsia" w:ascii="宋体" w:hAnsi="宋体"/>
          <w:sz w:val="24"/>
          <w:szCs w:val="24"/>
        </w:rPr>
        <w:t>5、无重大违法记录声明函、无不良信用记录承诺函；</w:t>
      </w:r>
    </w:p>
    <w:p>
      <w:pPr>
        <w:spacing w:line="520" w:lineRule="exact"/>
        <w:ind w:firstLine="480" w:firstLineChars="200"/>
        <w:jc w:val="left"/>
        <w:rPr>
          <w:rFonts w:ascii="宋体" w:hAnsi="宋体"/>
          <w:sz w:val="24"/>
          <w:szCs w:val="24"/>
        </w:rPr>
      </w:pPr>
      <w:r>
        <w:rPr>
          <w:rFonts w:hint="eastAsia" w:ascii="宋体" w:hAnsi="宋体"/>
          <w:sz w:val="24"/>
          <w:szCs w:val="24"/>
        </w:rPr>
        <w:t>6、响应情况表；</w:t>
      </w:r>
    </w:p>
    <w:p>
      <w:pPr>
        <w:spacing w:line="520" w:lineRule="exact"/>
        <w:ind w:firstLine="480" w:firstLineChars="200"/>
        <w:jc w:val="left"/>
        <w:rPr>
          <w:rFonts w:ascii="宋体" w:hAnsi="宋体"/>
          <w:b/>
          <w:bCs/>
          <w:sz w:val="24"/>
          <w:szCs w:val="24"/>
        </w:rPr>
      </w:pPr>
      <w:r>
        <w:rPr>
          <w:rFonts w:hint="eastAsia" w:ascii="宋体" w:hAnsi="宋体"/>
          <w:sz w:val="24"/>
          <w:szCs w:val="24"/>
        </w:rPr>
        <w:t>7、相关服务承诺函；</w:t>
      </w:r>
    </w:p>
    <w:p>
      <w:pPr>
        <w:spacing w:line="520" w:lineRule="exact"/>
        <w:ind w:firstLine="480" w:firstLineChars="200"/>
        <w:jc w:val="left"/>
        <w:rPr>
          <w:rFonts w:ascii="宋体" w:hAnsi="宋体" w:cs="宋体"/>
          <w:sz w:val="24"/>
          <w:szCs w:val="24"/>
        </w:rPr>
      </w:pPr>
      <w:r>
        <w:rPr>
          <w:rFonts w:hint="eastAsia" w:ascii="宋体" w:hAnsi="宋体"/>
          <w:sz w:val="24"/>
          <w:szCs w:val="24"/>
          <w:lang w:val="en-US" w:eastAsia="zh-CN"/>
        </w:rPr>
        <w:t>8</w:t>
      </w:r>
      <w:r>
        <w:rPr>
          <w:rFonts w:hint="eastAsia" w:ascii="宋体" w:hAnsi="宋体"/>
          <w:sz w:val="24"/>
          <w:szCs w:val="24"/>
        </w:rPr>
        <w:t xml:space="preserve">、磋商文件要求和供应商认为需要提供的其它说明和资料。 </w:t>
      </w:r>
    </w:p>
    <w:p>
      <w:pPr>
        <w:pStyle w:val="3"/>
        <w:spacing w:before="120" w:beforeLines="50" w:after="120" w:afterLines="50" w:line="520" w:lineRule="exact"/>
        <w:jc w:val="center"/>
        <w:rPr>
          <w:rFonts w:ascii="宋体" w:hAnsi="宋体" w:eastAsia="宋体" w:cs="宋体"/>
          <w:sz w:val="24"/>
          <w:szCs w:val="24"/>
        </w:rPr>
      </w:pPr>
      <w:bookmarkStart w:id="60" w:name="_Toc9883"/>
      <w:r>
        <w:rPr>
          <w:rFonts w:hint="eastAsia" w:ascii="宋体" w:hAnsi="宋体" w:eastAsia="宋体" w:cs="宋体"/>
          <w:sz w:val="24"/>
          <w:szCs w:val="24"/>
        </w:rPr>
        <w:t>（四）响应文件的</w:t>
      </w:r>
      <w:r>
        <w:rPr>
          <w:rFonts w:hint="eastAsia" w:ascii="宋体" w:hAnsi="宋体" w:eastAsia="宋体" w:cs="宋体"/>
          <w:sz w:val="24"/>
          <w:szCs w:val="24"/>
          <w:lang w:val="en-US" w:eastAsia="zh-CN"/>
        </w:rPr>
        <w:t>编制及</w:t>
      </w:r>
      <w:r>
        <w:rPr>
          <w:rFonts w:hint="eastAsia" w:ascii="宋体" w:hAnsi="宋体" w:eastAsia="宋体" w:cs="宋体"/>
          <w:sz w:val="24"/>
          <w:szCs w:val="24"/>
        </w:rPr>
        <w:t>提交</w:t>
      </w:r>
      <w:bookmarkEnd w:id="60"/>
    </w:p>
    <w:bookmarkEnd w:id="53"/>
    <w:bookmarkEnd w:id="54"/>
    <w:p>
      <w:pPr>
        <w:spacing w:line="360" w:lineRule="auto"/>
        <w:ind w:firstLine="482" w:firstLineChars="200"/>
        <w:rPr>
          <w:rFonts w:ascii="宋体" w:hAnsi="宋体"/>
          <w:b/>
          <w:bCs/>
          <w:sz w:val="24"/>
          <w:szCs w:val="24"/>
        </w:rPr>
      </w:pPr>
      <w:bookmarkStart w:id="61" w:name="_Toc32682"/>
      <w:bookmarkStart w:id="62" w:name="_Toc15950"/>
      <w:r>
        <w:rPr>
          <w:rFonts w:hint="eastAsia" w:ascii="宋体" w:hAnsi="宋体"/>
          <w:b/>
          <w:bCs/>
          <w:sz w:val="24"/>
          <w:szCs w:val="24"/>
        </w:rPr>
        <w:t>一、响应文件的编制</w:t>
      </w:r>
    </w:p>
    <w:p>
      <w:pPr>
        <w:spacing w:line="360" w:lineRule="auto"/>
        <w:ind w:firstLine="480" w:firstLineChars="200"/>
        <w:rPr>
          <w:rFonts w:ascii="宋体" w:hAnsi="宋体"/>
          <w:sz w:val="24"/>
          <w:szCs w:val="24"/>
        </w:rPr>
      </w:pPr>
      <w:r>
        <w:rPr>
          <w:rFonts w:hint="eastAsia" w:ascii="宋体" w:hAnsi="宋体"/>
          <w:sz w:val="24"/>
          <w:szCs w:val="24"/>
        </w:rPr>
        <w:t>1、除专用术语外，响应文件以及投标供应商与采购人就有关投标的往来函电均应使用中文。</w:t>
      </w:r>
    </w:p>
    <w:p>
      <w:pPr>
        <w:spacing w:line="360" w:lineRule="auto"/>
        <w:ind w:firstLine="480" w:firstLineChars="200"/>
        <w:rPr>
          <w:rFonts w:ascii="宋体" w:hAnsi="宋体"/>
          <w:sz w:val="24"/>
          <w:szCs w:val="24"/>
        </w:rPr>
      </w:pPr>
      <w:r>
        <w:rPr>
          <w:rFonts w:hint="eastAsia" w:ascii="宋体" w:hAnsi="宋体"/>
          <w:sz w:val="24"/>
          <w:szCs w:val="24"/>
        </w:rPr>
        <w:t>2、除非</w:t>
      </w:r>
      <w:r>
        <w:rPr>
          <w:rFonts w:hint="eastAsia" w:ascii="宋体" w:hAnsi="宋体"/>
          <w:sz w:val="24"/>
          <w:szCs w:val="24"/>
          <w:lang w:val="en-US" w:eastAsia="zh-CN"/>
        </w:rPr>
        <w:t>磋商</w:t>
      </w:r>
      <w:r>
        <w:rPr>
          <w:rFonts w:hint="eastAsia" w:ascii="宋体" w:hAnsi="宋体"/>
          <w:sz w:val="24"/>
          <w:szCs w:val="24"/>
        </w:rPr>
        <w:t>文件另有规定，供应商的响应文件应使用中华人民共和国法定计量单位。</w:t>
      </w:r>
    </w:p>
    <w:p>
      <w:pPr>
        <w:spacing w:line="360" w:lineRule="auto"/>
        <w:ind w:firstLine="480" w:firstLineChars="200"/>
        <w:rPr>
          <w:rFonts w:ascii="宋体" w:hAnsi="宋体"/>
          <w:sz w:val="24"/>
          <w:szCs w:val="24"/>
        </w:rPr>
      </w:pPr>
      <w:r>
        <w:rPr>
          <w:rFonts w:hint="eastAsia" w:ascii="宋体" w:hAnsi="宋体"/>
          <w:sz w:val="24"/>
          <w:szCs w:val="24"/>
        </w:rPr>
        <w:t>3、供应商响应文件应使用人民币填报所有报价，不接受多种货币报价。</w:t>
      </w:r>
    </w:p>
    <w:p>
      <w:pPr>
        <w:spacing w:line="360" w:lineRule="auto"/>
        <w:ind w:firstLine="480" w:firstLineChars="200"/>
        <w:rPr>
          <w:rFonts w:ascii="宋体" w:hAnsi="宋体"/>
          <w:sz w:val="24"/>
          <w:szCs w:val="24"/>
        </w:rPr>
      </w:pPr>
      <w:r>
        <w:rPr>
          <w:rFonts w:hint="eastAsia" w:ascii="宋体" w:hAnsi="宋体"/>
          <w:sz w:val="24"/>
          <w:szCs w:val="24"/>
        </w:rPr>
        <w:t>4、投标供应商资质证书（或资格证明）处于年检、换证、升级、变更等期间，除非有法律法规或发证机构书面材料明确表明投标供应商资质（或资格)有效，否则一律不予认可。</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5、 响应文件应按</w:t>
      </w:r>
      <w:r>
        <w:rPr>
          <w:rFonts w:hint="eastAsia" w:ascii="宋体" w:hAnsi="宋体"/>
          <w:sz w:val="24"/>
          <w:szCs w:val="24"/>
          <w:lang w:val="en-US" w:eastAsia="zh-CN"/>
        </w:rPr>
        <w:t>磋商</w:t>
      </w:r>
      <w:r>
        <w:rPr>
          <w:rFonts w:hint="eastAsia"/>
          <w:sz w:val="24"/>
          <w:szCs w:val="24"/>
        </w:rPr>
        <w:t>文件</w:t>
      </w:r>
      <w:r>
        <w:rPr>
          <w:rFonts w:hint="eastAsia" w:ascii="宋体" w:hAnsi="宋体"/>
          <w:sz w:val="24"/>
          <w:szCs w:val="24"/>
        </w:rPr>
        <w:t>规定格式进行编写，如有必要，可以增加附页、扩展表格，作为响应文件的组成部分。</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6、响应文件应当对</w:t>
      </w:r>
      <w:r>
        <w:rPr>
          <w:rFonts w:hint="eastAsia" w:ascii="宋体" w:hAnsi="宋体"/>
          <w:sz w:val="24"/>
          <w:szCs w:val="24"/>
          <w:lang w:val="en-US" w:eastAsia="zh-CN"/>
        </w:rPr>
        <w:t>磋商</w:t>
      </w:r>
      <w:r>
        <w:rPr>
          <w:rFonts w:hint="eastAsia" w:ascii="宋体" w:hAnsi="宋体"/>
          <w:sz w:val="24"/>
          <w:szCs w:val="24"/>
        </w:rPr>
        <w:t>文件有关采购需求、供货期限、质保期、技术与服务要求、响应报价要求、谈判有效期、付款方式、合同条款等实质性</w:t>
      </w:r>
      <w:r>
        <w:rPr>
          <w:rFonts w:hint="eastAsia"/>
          <w:sz w:val="24"/>
          <w:szCs w:val="24"/>
        </w:rPr>
        <w:t>内容</w:t>
      </w:r>
      <w:r>
        <w:rPr>
          <w:rFonts w:hint="eastAsia" w:ascii="宋体" w:hAnsi="宋体"/>
          <w:sz w:val="24"/>
          <w:szCs w:val="24"/>
        </w:rPr>
        <w:t>做出响应。响应文件在满足</w:t>
      </w:r>
      <w:r>
        <w:rPr>
          <w:rFonts w:hint="eastAsia" w:ascii="宋体" w:hAnsi="宋体"/>
          <w:sz w:val="24"/>
          <w:szCs w:val="24"/>
          <w:lang w:val="en-US" w:eastAsia="zh-CN"/>
        </w:rPr>
        <w:t>磋商</w:t>
      </w:r>
      <w:r>
        <w:rPr>
          <w:rFonts w:hint="eastAsia" w:ascii="宋体" w:hAnsi="宋体"/>
          <w:sz w:val="24"/>
          <w:szCs w:val="24"/>
        </w:rPr>
        <w:t>文件实质性要求的基础上，可以提出比</w:t>
      </w:r>
      <w:r>
        <w:rPr>
          <w:rFonts w:hint="eastAsia" w:ascii="宋体" w:hAnsi="宋体"/>
          <w:sz w:val="24"/>
          <w:szCs w:val="24"/>
          <w:lang w:val="en-US" w:eastAsia="zh-CN"/>
        </w:rPr>
        <w:t>磋商</w:t>
      </w:r>
      <w:r>
        <w:rPr>
          <w:rFonts w:hint="eastAsia" w:ascii="宋体" w:hAnsi="宋体"/>
          <w:sz w:val="24"/>
          <w:szCs w:val="24"/>
        </w:rPr>
        <w:t>文件要求更有利于采购人的承诺。</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7、供应商必须对其提交的资料的真实性负责，并接受采购人对其中任何资料进一步审查的要求。</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8、响应文件的制作应满足以下规定：</w:t>
      </w:r>
    </w:p>
    <w:p>
      <w:pPr>
        <w:widowControl/>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响应文件</w:t>
      </w:r>
      <w:r>
        <w:rPr>
          <w:rFonts w:ascii="宋体" w:hAnsi="宋体"/>
          <w:sz w:val="24"/>
          <w:szCs w:val="24"/>
        </w:rPr>
        <w:t>应用不褪色的材料书写或打印，</w:t>
      </w:r>
      <w:r>
        <w:rPr>
          <w:rFonts w:hint="eastAsia" w:ascii="宋体" w:hAnsi="宋体"/>
          <w:sz w:val="24"/>
          <w:szCs w:val="24"/>
          <w:lang w:val="en-US" w:eastAsia="zh-CN"/>
        </w:rPr>
        <w:t>磋商</w:t>
      </w:r>
      <w:r>
        <w:rPr>
          <w:rFonts w:hint="eastAsia" w:ascii="宋体" w:hAnsi="宋体"/>
          <w:sz w:val="24"/>
          <w:szCs w:val="24"/>
        </w:rPr>
        <w:t>文件要求盖章、签字的</w:t>
      </w:r>
      <w:r>
        <w:rPr>
          <w:rFonts w:ascii="宋体" w:hAnsi="宋体"/>
          <w:sz w:val="24"/>
          <w:szCs w:val="24"/>
        </w:rPr>
        <w:t>应</w:t>
      </w:r>
      <w:r>
        <w:rPr>
          <w:rFonts w:hint="eastAsia" w:ascii="宋体" w:hAnsi="宋体"/>
          <w:sz w:val="24"/>
          <w:szCs w:val="24"/>
        </w:rPr>
        <w:t>按要求盖章、签字。</w:t>
      </w:r>
      <w:r>
        <w:rPr>
          <w:rFonts w:ascii="宋体" w:hAnsi="宋体"/>
          <w:sz w:val="24"/>
          <w:szCs w:val="24"/>
        </w:rPr>
        <w:t>由</w:t>
      </w:r>
      <w:r>
        <w:rPr>
          <w:rFonts w:hint="eastAsia" w:ascii="宋体" w:hAnsi="宋体"/>
          <w:sz w:val="24"/>
          <w:szCs w:val="24"/>
        </w:rPr>
        <w:t>供应商</w:t>
      </w:r>
      <w:r>
        <w:rPr>
          <w:rFonts w:ascii="宋体" w:hAnsi="宋体"/>
          <w:sz w:val="24"/>
          <w:szCs w:val="24"/>
        </w:rPr>
        <w:t>的法定代表人</w:t>
      </w:r>
      <w:r>
        <w:rPr>
          <w:rFonts w:hint="eastAsia" w:ascii="宋体" w:hAnsi="宋体"/>
          <w:sz w:val="24"/>
          <w:szCs w:val="24"/>
        </w:rPr>
        <w:t>（单位负责人）</w:t>
      </w:r>
      <w:r>
        <w:rPr>
          <w:rFonts w:ascii="宋体" w:hAnsi="宋体"/>
          <w:sz w:val="24"/>
          <w:szCs w:val="24"/>
        </w:rPr>
        <w:t>签字的，应附法定代表人</w:t>
      </w:r>
      <w:r>
        <w:rPr>
          <w:rFonts w:hint="eastAsia" w:ascii="宋体" w:hAnsi="宋体"/>
          <w:sz w:val="24"/>
          <w:szCs w:val="24"/>
        </w:rPr>
        <w:t>（单位负责人）</w:t>
      </w:r>
      <w:r>
        <w:rPr>
          <w:rFonts w:ascii="宋体" w:hAnsi="宋体"/>
          <w:sz w:val="24"/>
          <w:szCs w:val="24"/>
        </w:rPr>
        <w:t>身份证明，由代理人签字的，应附授权委托书</w:t>
      </w:r>
      <w:r>
        <w:rPr>
          <w:rFonts w:hint="eastAsia" w:ascii="宋体" w:hAnsi="宋体"/>
          <w:sz w:val="24"/>
          <w:szCs w:val="24"/>
        </w:rPr>
        <w:t>（见响应文件格式）且符合</w:t>
      </w:r>
      <w:r>
        <w:rPr>
          <w:rFonts w:ascii="宋体" w:hAnsi="宋体"/>
          <w:sz w:val="24"/>
          <w:szCs w:val="24"/>
        </w:rPr>
        <w:t>要求。</w:t>
      </w:r>
      <w:r>
        <w:rPr>
          <w:rFonts w:hint="eastAsia" w:ascii="宋体" w:hAnsi="宋体"/>
          <w:sz w:val="24"/>
          <w:szCs w:val="24"/>
        </w:rPr>
        <w:t>响应文件</w:t>
      </w:r>
      <w:r>
        <w:rPr>
          <w:rFonts w:ascii="宋体" w:hAnsi="宋体"/>
          <w:sz w:val="24"/>
          <w:szCs w:val="24"/>
        </w:rPr>
        <w:t>应尽量避免涂改、行间插字或删除。如果出现上述情况，改动之处应由</w:t>
      </w:r>
      <w:r>
        <w:rPr>
          <w:rFonts w:hint="eastAsia" w:ascii="宋体" w:hAnsi="宋体"/>
          <w:sz w:val="24"/>
          <w:szCs w:val="24"/>
        </w:rPr>
        <w:t>供应商</w:t>
      </w:r>
      <w:r>
        <w:rPr>
          <w:rFonts w:ascii="宋体" w:hAnsi="宋体"/>
          <w:sz w:val="24"/>
          <w:szCs w:val="24"/>
        </w:rPr>
        <w:t>的</w:t>
      </w:r>
      <w:r>
        <w:rPr>
          <w:rFonts w:hint="eastAsia" w:ascii="宋体" w:hAnsi="宋体"/>
          <w:sz w:val="24"/>
          <w:szCs w:val="24"/>
        </w:rPr>
        <w:t>法定代表人（单位负责人）</w:t>
      </w:r>
      <w:r>
        <w:rPr>
          <w:rFonts w:ascii="宋体" w:hAnsi="宋体"/>
          <w:sz w:val="24"/>
          <w:szCs w:val="24"/>
        </w:rPr>
        <w:t>或其授权的代理人签字或盖单位章。</w:t>
      </w:r>
      <w:r>
        <w:rPr>
          <w:rFonts w:hint="eastAsia" w:ascii="宋体" w:hAnsi="宋体"/>
          <w:sz w:val="24"/>
          <w:szCs w:val="24"/>
        </w:rPr>
        <w:t>响应文件签字或盖章的具体要求见</w:t>
      </w:r>
      <w:r>
        <w:rPr>
          <w:rFonts w:hint="eastAsia" w:ascii="宋体" w:hAnsi="宋体"/>
          <w:bCs/>
          <w:sz w:val="24"/>
          <w:szCs w:val="24"/>
        </w:rPr>
        <w:t>供应商须知前附表。</w:t>
      </w:r>
    </w:p>
    <w:p>
      <w:pPr>
        <w:widowControl/>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响应文件</w:t>
      </w:r>
      <w:r>
        <w:rPr>
          <w:rFonts w:ascii="宋体" w:hAnsi="宋体"/>
          <w:sz w:val="24"/>
          <w:szCs w:val="24"/>
        </w:rPr>
        <w:t>正本一份，副本份数见</w:t>
      </w:r>
      <w:r>
        <w:rPr>
          <w:rFonts w:hint="eastAsia" w:ascii="宋体" w:hAnsi="宋体"/>
          <w:sz w:val="24"/>
          <w:szCs w:val="24"/>
        </w:rPr>
        <w:t>供应商</w:t>
      </w:r>
      <w:r>
        <w:rPr>
          <w:rFonts w:ascii="宋体" w:hAnsi="宋体"/>
          <w:sz w:val="24"/>
          <w:szCs w:val="24"/>
        </w:rPr>
        <w:t>须知前附表。正本和副本的封面应清楚地标记“正本”或“副本”的字样。当副本和正本不一致以纸质正本文件为准。</w:t>
      </w:r>
    </w:p>
    <w:p>
      <w:pPr>
        <w:pStyle w:val="17"/>
        <w:spacing w:line="360" w:lineRule="auto"/>
        <w:rPr>
          <w:rFonts w:hint="eastAsia" w:hAnsi="宋体"/>
          <w:b/>
          <w:sz w:val="24"/>
          <w:szCs w:val="24"/>
        </w:rPr>
      </w:pPr>
      <w:r>
        <w:rPr>
          <w:rFonts w:hint="eastAsia" w:hAnsi="宋体"/>
          <w:b/>
          <w:sz w:val="24"/>
          <w:szCs w:val="24"/>
        </w:rPr>
        <w:t>二、响应文件的递交</w:t>
      </w:r>
    </w:p>
    <w:p>
      <w:pPr>
        <w:pStyle w:val="17"/>
        <w:spacing w:line="360" w:lineRule="auto"/>
        <w:rPr>
          <w:rFonts w:hint="eastAsia" w:ascii="宋体" w:hAnsi="宋体" w:eastAsia="宋体" w:cs="Times New Roman"/>
          <w:b w:val="0"/>
          <w:kern w:val="2"/>
          <w:sz w:val="24"/>
          <w:szCs w:val="24"/>
          <w:lang w:val="en-US" w:eastAsia="zh-CN" w:bidi="ar-SA"/>
        </w:rPr>
      </w:pPr>
      <w:r>
        <w:rPr>
          <w:rFonts w:hint="eastAsia" w:ascii="宋体" w:hAnsi="宋体" w:eastAsia="宋体" w:cs="Times New Roman"/>
          <w:b w:val="0"/>
          <w:kern w:val="2"/>
          <w:sz w:val="24"/>
          <w:szCs w:val="24"/>
          <w:lang w:val="en-US" w:eastAsia="zh-CN" w:bidi="ar-SA"/>
        </w:rPr>
        <w:t xml:space="preserve">  1</w:t>
      </w:r>
      <w:r>
        <w:rPr>
          <w:rFonts w:hint="eastAsia" w:hAnsi="宋体" w:cs="Times New Roman"/>
          <w:b w:val="0"/>
          <w:kern w:val="2"/>
          <w:sz w:val="24"/>
          <w:szCs w:val="24"/>
          <w:lang w:val="en-US" w:eastAsia="zh-CN" w:bidi="ar-SA"/>
        </w:rPr>
        <w:t>.</w:t>
      </w:r>
      <w:r>
        <w:rPr>
          <w:rFonts w:hint="eastAsia" w:ascii="宋体" w:hAnsi="宋体" w:eastAsia="宋体" w:cs="Times New Roman"/>
          <w:b w:val="0"/>
          <w:kern w:val="2"/>
          <w:sz w:val="24"/>
          <w:szCs w:val="24"/>
          <w:lang w:val="en-US" w:eastAsia="zh-CN" w:bidi="ar-SA"/>
        </w:rPr>
        <w:t>供应商应在响应文件提交截止时间之前，截止开标时间止不接收任何响应文件。</w:t>
      </w:r>
    </w:p>
    <w:p>
      <w:pPr>
        <w:pStyle w:val="17"/>
        <w:spacing w:line="360" w:lineRule="auto"/>
        <w:ind w:firstLine="240" w:firstLineChars="100"/>
        <w:rPr>
          <w:rFonts w:hint="eastAsia" w:ascii="宋体" w:hAnsi="宋体" w:eastAsia="宋体" w:cs="Times New Roman"/>
          <w:b w:val="0"/>
          <w:kern w:val="2"/>
          <w:sz w:val="24"/>
          <w:szCs w:val="24"/>
          <w:lang w:val="en-US" w:eastAsia="zh-CN" w:bidi="ar-SA"/>
        </w:rPr>
      </w:pPr>
      <w:r>
        <w:rPr>
          <w:rFonts w:hint="eastAsia" w:ascii="宋体" w:hAnsi="宋体" w:eastAsia="宋体" w:cs="Times New Roman"/>
          <w:b w:val="0"/>
          <w:kern w:val="2"/>
          <w:sz w:val="24"/>
          <w:szCs w:val="24"/>
          <w:lang w:val="en-US" w:eastAsia="zh-CN" w:bidi="ar-SA"/>
        </w:rPr>
        <w:t>2</w:t>
      </w:r>
      <w:r>
        <w:rPr>
          <w:rFonts w:hint="eastAsia" w:hAnsi="宋体" w:cs="Times New Roman"/>
          <w:b w:val="0"/>
          <w:kern w:val="2"/>
          <w:sz w:val="24"/>
          <w:szCs w:val="24"/>
          <w:lang w:val="en-US" w:eastAsia="zh-CN" w:bidi="ar-SA"/>
        </w:rPr>
        <w:t>.</w:t>
      </w:r>
      <w:r>
        <w:rPr>
          <w:rFonts w:hint="eastAsia" w:ascii="宋体" w:hAnsi="宋体" w:eastAsia="宋体" w:cs="Times New Roman"/>
          <w:b w:val="0"/>
          <w:kern w:val="2"/>
          <w:sz w:val="24"/>
          <w:szCs w:val="24"/>
          <w:lang w:val="en-US" w:eastAsia="zh-CN" w:bidi="ar-SA"/>
        </w:rPr>
        <w:t>供应商应当在谈判文件要求提交响应文件的截止时间前，将响应文件密封并现场递交至谈判地点。</w:t>
      </w:r>
    </w:p>
    <w:p>
      <w:pPr>
        <w:pStyle w:val="3"/>
        <w:spacing w:before="120" w:beforeLines="50" w:after="120" w:afterLines="50" w:line="500" w:lineRule="exact"/>
        <w:jc w:val="center"/>
        <w:rPr>
          <w:rFonts w:ascii="宋体" w:hAnsi="宋体" w:eastAsia="宋体" w:cs="宋体"/>
          <w:sz w:val="24"/>
          <w:szCs w:val="24"/>
        </w:rPr>
      </w:pPr>
      <w:r>
        <w:rPr>
          <w:rFonts w:hint="eastAsia" w:ascii="宋体" w:hAnsi="宋体" w:eastAsia="宋体" w:cs="宋体"/>
          <w:sz w:val="24"/>
          <w:szCs w:val="24"/>
        </w:rPr>
        <w:t>（五）磋商程序</w:t>
      </w:r>
      <w:bookmarkEnd w:id="61"/>
      <w:bookmarkEnd w:id="62"/>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1、磋商人员是按规定组成的三人或三人以上的磋商小组。</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2、在掌握了供应商的基本情况后，磋商小组将按在线签到顺序，与供应商分别进行磋商。</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3、磋商是分别单独进行的。供应商不得与其他参与磋商的供应商相互串通；磋商小组也不得将与某一供应商的磋商情况向其他供应商及其关系人透露。</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4、磋商采用一轮磋商、两轮报价的方式进行。但最终采取多少轮磋商，由磋商小组视情况而定。</w:t>
      </w:r>
    </w:p>
    <w:p>
      <w:pPr>
        <w:pStyle w:val="3"/>
        <w:spacing w:before="0" w:after="0" w:line="520" w:lineRule="exact"/>
        <w:ind w:firstLine="480" w:firstLineChars="200"/>
        <w:jc w:val="both"/>
        <w:rPr>
          <w:rFonts w:ascii="宋体" w:hAnsi="宋体" w:cs="宋体"/>
          <w:b/>
          <w:bCs/>
          <w:sz w:val="24"/>
          <w:szCs w:val="24"/>
        </w:rPr>
      </w:pPr>
      <w:bookmarkStart w:id="63" w:name="_Toc8817"/>
      <w:bookmarkStart w:id="64" w:name="_Toc6912"/>
      <w:r>
        <w:rPr>
          <w:rFonts w:hint="eastAsia" w:ascii="宋体" w:hAnsi="宋体" w:eastAsia="宋体" w:cs="宋体"/>
          <w:b w:val="0"/>
          <w:bCs/>
          <w:sz w:val="24"/>
          <w:szCs w:val="24"/>
        </w:rPr>
        <w:t>5、</w:t>
      </w:r>
      <w:bookmarkEnd w:id="63"/>
      <w:bookmarkEnd w:id="64"/>
      <w:r>
        <w:rPr>
          <w:rFonts w:hint="eastAsia" w:ascii="宋体" w:hAnsi="宋体" w:eastAsia="宋体" w:cs="Arial"/>
          <w:color w:val="000000" w:themeColor="text1"/>
          <w:sz w:val="24"/>
          <w:szCs w:val="24"/>
          <w:lang w:val="en-US" w:eastAsia="zh-CN"/>
          <w14:textFill>
            <w14:solidFill>
              <w14:schemeClr w14:val="tx1"/>
            </w14:solidFill>
          </w14:textFill>
        </w:rPr>
        <w:t>磋商结束后，磋商小组将现场告知并要求所有符合条件的供应商在规定的时间内进行最后的报价。在接到二轮报价通知后，供应商必须在规定的时间内（原则上不超过15分钟）将自己在磋商中作出的澄清、变动以及最终的报价，经法定代表人或授权委托人签字盖章后，以纸质形式提交，采购人现场向磋商小组及监督部门公布</w:t>
      </w:r>
      <w:r>
        <w:rPr>
          <w:rFonts w:hint="eastAsia" w:ascii="宋体" w:hAnsi="宋体" w:eastAsia="宋体" w:cs="Arial"/>
          <w:b/>
          <w:bCs/>
          <w:sz w:val="24"/>
          <w:szCs w:val="24"/>
        </w:rPr>
        <w:t>。</w:t>
      </w:r>
    </w:p>
    <w:p>
      <w:pPr>
        <w:pStyle w:val="3"/>
        <w:spacing w:before="120" w:beforeLines="50" w:after="120" w:afterLines="50" w:line="520" w:lineRule="exact"/>
        <w:jc w:val="center"/>
        <w:rPr>
          <w:rFonts w:ascii="宋体" w:hAnsi="宋体" w:eastAsia="宋体" w:cs="宋体"/>
          <w:sz w:val="24"/>
          <w:szCs w:val="24"/>
        </w:rPr>
      </w:pPr>
      <w:bookmarkStart w:id="65" w:name="_Toc11542"/>
      <w:bookmarkStart w:id="66" w:name="_Toc7501"/>
      <w:r>
        <w:rPr>
          <w:rFonts w:hint="eastAsia" w:ascii="宋体" w:hAnsi="宋体" w:eastAsia="宋体" w:cs="宋体"/>
          <w:sz w:val="24"/>
          <w:szCs w:val="24"/>
        </w:rPr>
        <w:t>（六）评审及异常情况处理</w:t>
      </w:r>
      <w:bookmarkEnd w:id="65"/>
      <w:bookmarkEnd w:id="66"/>
    </w:p>
    <w:p>
      <w:pPr>
        <w:spacing w:line="520" w:lineRule="exact"/>
        <w:ind w:firstLine="480" w:firstLineChars="200"/>
        <w:rPr>
          <w:rFonts w:ascii="宋体" w:hAnsi="宋体" w:cs="宋体"/>
          <w:sz w:val="24"/>
          <w:szCs w:val="24"/>
        </w:rPr>
      </w:pPr>
      <w:r>
        <w:rPr>
          <w:rFonts w:hint="eastAsia" w:ascii="宋体" w:hAnsi="宋体" w:cs="宋体"/>
          <w:sz w:val="24"/>
          <w:szCs w:val="24"/>
        </w:rPr>
        <w:t>1、磋商小组将遵循公平、公正的原则，对供应商最终提交的确认价进行综合评审，根据得分由高到低顺序推荐不少于</w:t>
      </w:r>
      <w:r>
        <w:rPr>
          <w:rFonts w:hint="eastAsia" w:ascii="宋体" w:hAnsi="宋体" w:cs="宋体"/>
          <w:color w:val="auto"/>
          <w:sz w:val="24"/>
          <w:szCs w:val="24"/>
          <w:lang w:val="en-US" w:eastAsia="zh-CN"/>
        </w:rPr>
        <w:t>2</w:t>
      </w:r>
      <w:r>
        <w:rPr>
          <w:rFonts w:hint="eastAsia" w:ascii="宋体" w:hAnsi="宋体" w:cs="宋体"/>
          <w:sz w:val="24"/>
          <w:szCs w:val="24"/>
        </w:rPr>
        <w:t>名成交候选供应商。</w:t>
      </w:r>
    </w:p>
    <w:p>
      <w:pPr>
        <w:spacing w:line="520" w:lineRule="exact"/>
        <w:ind w:firstLine="480" w:firstLineChars="200"/>
        <w:rPr>
          <w:rFonts w:ascii="宋体" w:hAnsi="宋体" w:cs="宋体"/>
          <w:sz w:val="24"/>
          <w:szCs w:val="24"/>
        </w:rPr>
      </w:pPr>
      <w:r>
        <w:rPr>
          <w:rFonts w:hint="eastAsia" w:ascii="宋体" w:hAnsi="宋体" w:cs="宋体"/>
          <w:sz w:val="24"/>
          <w:szCs w:val="24"/>
        </w:rPr>
        <w:t>2、磋商时出现以下情况之一的，将予以废标：</w:t>
      </w:r>
    </w:p>
    <w:p>
      <w:pPr>
        <w:spacing w:line="520" w:lineRule="exact"/>
        <w:ind w:firstLine="480" w:firstLineChars="200"/>
        <w:rPr>
          <w:rFonts w:ascii="宋体" w:hAnsi="宋体" w:cs="宋体"/>
          <w:sz w:val="24"/>
          <w:szCs w:val="24"/>
        </w:rPr>
      </w:pPr>
      <w:r>
        <w:rPr>
          <w:rFonts w:hint="eastAsia" w:ascii="宋体" w:hAnsi="宋体" w:cs="宋体"/>
          <w:sz w:val="24"/>
          <w:szCs w:val="24"/>
        </w:rPr>
        <w:t>（1）符合专业条件的供应商或者对采购文件作实质性响应的供应商不足三家的（若采购项目是政府购买服务项目只有2家的，竞争性磋商活动可以继续进行）；</w:t>
      </w:r>
    </w:p>
    <w:p>
      <w:pPr>
        <w:spacing w:line="520" w:lineRule="exact"/>
        <w:ind w:firstLine="480" w:firstLineChars="200"/>
        <w:rPr>
          <w:rFonts w:ascii="宋体" w:hAnsi="宋体" w:cs="宋体"/>
          <w:sz w:val="24"/>
          <w:szCs w:val="24"/>
        </w:rPr>
      </w:pPr>
      <w:r>
        <w:rPr>
          <w:rFonts w:hint="eastAsia" w:ascii="宋体" w:hAnsi="宋体" w:cs="宋体"/>
          <w:sz w:val="24"/>
          <w:szCs w:val="24"/>
        </w:rPr>
        <w:t>（2）供应商的报价均超过了采购预算，经过多轮磋商仍不能降到预算内、且采购人不能支付的；</w:t>
      </w:r>
    </w:p>
    <w:p>
      <w:pPr>
        <w:spacing w:line="520" w:lineRule="exact"/>
        <w:ind w:firstLine="480" w:firstLineChars="200"/>
        <w:rPr>
          <w:rFonts w:ascii="宋体" w:hAnsi="宋体" w:cs="宋体"/>
          <w:sz w:val="24"/>
          <w:szCs w:val="24"/>
        </w:rPr>
      </w:pPr>
      <w:r>
        <w:rPr>
          <w:rFonts w:hint="eastAsia" w:ascii="宋体" w:hAnsi="宋体" w:cs="宋体"/>
          <w:sz w:val="24"/>
          <w:szCs w:val="24"/>
        </w:rPr>
        <w:t>（3）经过磋商，供应商所提供的服务仍无法满足磋商文件实质性要求、影响工作的；</w:t>
      </w:r>
    </w:p>
    <w:p>
      <w:pPr>
        <w:spacing w:line="520" w:lineRule="exact"/>
        <w:ind w:firstLine="480" w:firstLineChars="200"/>
        <w:rPr>
          <w:rFonts w:ascii="宋体" w:hAnsi="宋体" w:cs="宋体"/>
          <w:sz w:val="24"/>
          <w:szCs w:val="24"/>
        </w:rPr>
      </w:pPr>
      <w:r>
        <w:rPr>
          <w:rFonts w:hint="eastAsia" w:ascii="宋体" w:hAnsi="宋体" w:cs="宋体"/>
          <w:sz w:val="24"/>
          <w:szCs w:val="24"/>
        </w:rPr>
        <w:t>（4）出现影响采购公正的违法、违规行为的；</w:t>
      </w:r>
    </w:p>
    <w:p>
      <w:pPr>
        <w:spacing w:line="520" w:lineRule="exact"/>
        <w:ind w:firstLine="480" w:firstLineChars="200"/>
        <w:rPr>
          <w:rFonts w:ascii="宋体" w:hAnsi="宋体" w:cs="宋体"/>
          <w:sz w:val="24"/>
          <w:szCs w:val="24"/>
        </w:rPr>
      </w:pPr>
      <w:r>
        <w:rPr>
          <w:rFonts w:hint="eastAsia" w:ascii="宋体" w:hAnsi="宋体" w:cs="宋体"/>
          <w:sz w:val="24"/>
          <w:szCs w:val="24"/>
        </w:rPr>
        <w:t>（5）因重大变故，采购任务取消的。</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3、重新组织磋商，采购单位将通过</w:t>
      </w:r>
      <w:r>
        <w:rPr>
          <w:rFonts w:hint="eastAsia" w:ascii="宋体" w:hAnsi="宋体" w:cs="Arial"/>
          <w:sz w:val="24"/>
          <w:szCs w:val="24"/>
        </w:rPr>
        <w:t>皖西卫生职业学院附属医院官网</w:t>
      </w:r>
      <w:r>
        <w:rPr>
          <w:rFonts w:hint="eastAsia" w:ascii="宋体" w:hAnsi="宋体" w:cs="宋体"/>
          <w:sz w:val="24"/>
          <w:szCs w:val="24"/>
        </w:rPr>
        <w:t>进行公告。</w:t>
      </w:r>
    </w:p>
    <w:p>
      <w:pPr>
        <w:pStyle w:val="3"/>
        <w:spacing w:before="120" w:beforeLines="50" w:after="120" w:afterLines="50" w:line="520" w:lineRule="exact"/>
        <w:jc w:val="center"/>
        <w:rPr>
          <w:rFonts w:ascii="宋体" w:hAnsi="宋体" w:eastAsia="宋体" w:cs="宋体"/>
          <w:sz w:val="24"/>
          <w:szCs w:val="24"/>
        </w:rPr>
      </w:pPr>
      <w:bookmarkStart w:id="67" w:name="_Toc30632"/>
      <w:r>
        <w:rPr>
          <w:rFonts w:hint="eastAsia" w:ascii="宋体" w:hAnsi="宋体" w:eastAsia="宋体" w:cs="宋体"/>
          <w:sz w:val="24"/>
          <w:szCs w:val="24"/>
        </w:rPr>
        <w:t>（七）报价响应及答疑</w:t>
      </w:r>
      <w:bookmarkEnd w:id="67"/>
    </w:p>
    <w:p>
      <w:pPr>
        <w:spacing w:line="520" w:lineRule="exact"/>
        <w:ind w:firstLine="480" w:firstLineChars="200"/>
        <w:rPr>
          <w:rFonts w:ascii="宋体" w:hAnsi="宋体"/>
          <w:sz w:val="24"/>
          <w:szCs w:val="24"/>
        </w:rPr>
      </w:pPr>
      <w:r>
        <w:rPr>
          <w:rFonts w:hint="eastAsia" w:ascii="宋体" w:hAnsi="宋体"/>
          <w:sz w:val="24"/>
          <w:szCs w:val="24"/>
        </w:rPr>
        <w:t>1、响应报价应含有所投货物</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520" w:lineRule="exact"/>
        <w:ind w:firstLine="480" w:firstLineChars="200"/>
        <w:rPr>
          <w:rFonts w:ascii="宋体" w:hAnsi="宋体"/>
          <w:sz w:val="24"/>
          <w:szCs w:val="24"/>
        </w:rPr>
      </w:pPr>
      <w:r>
        <w:rPr>
          <w:rFonts w:hint="eastAsia" w:ascii="宋体" w:hAnsi="宋体"/>
          <w:sz w:val="24"/>
          <w:szCs w:val="24"/>
        </w:rPr>
        <w:t>2、磋商文件中没有提及磋商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磋商文件规定的规格、参数、质量、价格、有效期、售后服务等要求。</w:t>
      </w:r>
    </w:p>
    <w:p>
      <w:pPr>
        <w:spacing w:line="520" w:lineRule="exact"/>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520" w:lineRule="exact"/>
        <w:ind w:firstLine="480" w:firstLineChars="200"/>
        <w:rPr>
          <w:rFonts w:ascii="宋体" w:hAnsi="宋体"/>
          <w:sz w:val="24"/>
          <w:szCs w:val="24"/>
        </w:rPr>
      </w:pPr>
      <w:r>
        <w:rPr>
          <w:rFonts w:hint="eastAsia" w:ascii="宋体" w:hAnsi="宋体"/>
          <w:sz w:val="24"/>
          <w:szCs w:val="24"/>
        </w:rPr>
        <w:t>4、供应商应自行对供货及安装</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现场和周围环境进行勘察，以获取编制响应文件和签署合同所需的资料。勘察现场所发生的费用由供应商自己承担。采购人向供应商提供的有关供货</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现场的资料和数据，是采购人现有的能使供应商利用的资料。采购人对供应商由此而做出的推论、理解和结论概不负责。供应商因自身原因未到供货</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现场实地踏勘的，成交后签订合同时和履约过程中，不得以不完全了解现场情况为由，提出任何形式的增加合同外造价或索赔的要求。</w:t>
      </w:r>
    </w:p>
    <w:p>
      <w:pPr>
        <w:spacing w:line="520" w:lineRule="exact"/>
        <w:ind w:firstLine="480" w:firstLineChars="200"/>
        <w:rPr>
          <w:rFonts w:ascii="宋体" w:hAnsi="宋体"/>
          <w:sz w:val="24"/>
          <w:szCs w:val="24"/>
        </w:rPr>
      </w:pPr>
      <w:r>
        <w:rPr>
          <w:rFonts w:hint="eastAsia" w:ascii="宋体" w:hAnsi="宋体"/>
          <w:sz w:val="24"/>
          <w:szCs w:val="24"/>
        </w:rPr>
        <w:t>5、供应商如果对磋商文件的其他任何内容有相关疑问，可</w:t>
      </w:r>
      <w:r>
        <w:rPr>
          <w:rFonts w:hint="eastAsia" w:ascii="宋体" w:hAnsi="宋体"/>
          <w:sz w:val="24"/>
        </w:rPr>
        <w:t>以通过书面形式向采购人或代理机构提出（疑问文件须加盖单位公章）。</w:t>
      </w:r>
    </w:p>
    <w:p>
      <w:pPr>
        <w:spacing w:line="520" w:lineRule="exact"/>
        <w:ind w:firstLine="480" w:firstLineChars="200"/>
        <w:rPr>
          <w:rFonts w:ascii="宋体" w:hAnsi="宋体" w:cs="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3"/>
        <w:spacing w:before="120" w:beforeLines="50" w:after="120" w:afterLines="50" w:line="520" w:lineRule="exact"/>
        <w:jc w:val="center"/>
        <w:rPr>
          <w:rFonts w:ascii="宋体" w:hAnsi="宋体" w:eastAsia="宋体" w:cs="宋体"/>
          <w:sz w:val="24"/>
          <w:szCs w:val="24"/>
        </w:rPr>
      </w:pPr>
      <w:bookmarkStart w:id="68" w:name="_Toc19999"/>
      <w:r>
        <w:rPr>
          <w:rFonts w:hint="eastAsia" w:ascii="宋体" w:hAnsi="宋体" w:eastAsia="宋体" w:cs="宋体"/>
          <w:sz w:val="24"/>
          <w:szCs w:val="24"/>
        </w:rPr>
        <w:t>（八）合同的签订</w:t>
      </w:r>
      <w:bookmarkEnd w:id="68"/>
    </w:p>
    <w:p>
      <w:pPr>
        <w:spacing w:line="520" w:lineRule="exact"/>
        <w:ind w:firstLine="480" w:firstLineChars="200"/>
        <w:jc w:val="left"/>
        <w:rPr>
          <w:rFonts w:ascii="宋体" w:hAnsi="宋体" w:cs="Arial"/>
          <w:sz w:val="24"/>
          <w:szCs w:val="24"/>
        </w:rPr>
      </w:pPr>
      <w:r>
        <w:rPr>
          <w:rFonts w:hint="eastAsia" w:ascii="宋体" w:hAnsi="宋体" w:cs="Arial"/>
          <w:sz w:val="24"/>
          <w:szCs w:val="24"/>
        </w:rPr>
        <w:t>1、采购人应尽量缩短采购合同签订时间，不得晚于中标（成交）通知书发放之日起 7 个工作日。无正当理由不得拒绝或者拖延签订合同，因供应商自身原因导致无法及时签订的除外。采购文件、成交供应商的响应文件及澄清文件等，均作为合同的附件。</w:t>
      </w:r>
    </w:p>
    <w:p>
      <w:pPr>
        <w:spacing w:line="520" w:lineRule="exact"/>
        <w:ind w:firstLine="480" w:firstLineChars="200"/>
        <w:jc w:val="left"/>
        <w:rPr>
          <w:rFonts w:ascii="宋体" w:hAnsi="宋体" w:cs="Arial"/>
          <w:sz w:val="24"/>
          <w:szCs w:val="24"/>
        </w:rPr>
      </w:pPr>
      <w:r>
        <w:rPr>
          <w:rFonts w:hint="eastAsia" w:ascii="宋体" w:hAnsi="宋体" w:cs="Arial"/>
          <w:sz w:val="24"/>
          <w:szCs w:val="24"/>
        </w:rPr>
        <w:t>2、</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520" w:lineRule="exact"/>
        <w:ind w:firstLine="480" w:firstLineChars="200"/>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成交供应商因不可抗力或者自身原因不能在规定的时间内与采购人签订采购</w:t>
      </w:r>
      <w:r>
        <w:rPr>
          <w:rFonts w:hint="eastAsia" w:ascii="宋体" w:hAnsi="宋体" w:cs="Arial"/>
          <w:sz w:val="24"/>
          <w:szCs w:val="24"/>
        </w:rPr>
        <w:t>合同，采购人可以与排在成交供应商后第一位的候选供应商签订采购合同，以此类推或重新组织采购。</w:t>
      </w:r>
    </w:p>
    <w:p>
      <w:pPr>
        <w:spacing w:line="520" w:lineRule="exact"/>
        <w:ind w:firstLine="480" w:firstLineChars="200"/>
        <w:jc w:val="left"/>
        <w:rPr>
          <w:rFonts w:ascii="宋体" w:hAnsi="宋体" w:cs="Arial"/>
          <w:sz w:val="24"/>
          <w:szCs w:val="24"/>
        </w:rPr>
      </w:pPr>
      <w:r>
        <w:rPr>
          <w:rFonts w:hint="eastAsia" w:ascii="宋体" w:hAnsi="宋体" w:cs="Arial"/>
          <w:sz w:val="24"/>
          <w:szCs w:val="24"/>
        </w:rPr>
        <w:t>4、因政策变化等原因不能签订合同，造成企业合法利益受损的情形，采购人可以与供应商充分协商，给予合理补偿。</w:t>
      </w:r>
    </w:p>
    <w:p>
      <w:pPr>
        <w:spacing w:line="520" w:lineRule="exact"/>
        <w:ind w:firstLine="480" w:firstLineChars="200"/>
        <w:jc w:val="left"/>
        <w:rPr>
          <w:rFonts w:ascii="宋体" w:hAnsi="宋体" w:cs="Arial"/>
          <w:sz w:val="24"/>
          <w:szCs w:val="24"/>
        </w:rPr>
      </w:pPr>
      <w:r>
        <w:rPr>
          <w:rFonts w:hint="eastAsia" w:ascii="宋体" w:hAnsi="宋体" w:cs="Arial"/>
          <w:sz w:val="24"/>
          <w:szCs w:val="24"/>
          <w:lang w:val="en-US" w:eastAsia="zh-CN"/>
        </w:rPr>
        <w:t>5</w:t>
      </w:r>
      <w:r>
        <w:rPr>
          <w:rFonts w:hint="eastAsia" w:ascii="宋体" w:hAnsi="宋体" w:cs="Arial"/>
          <w:sz w:val="24"/>
          <w:szCs w:val="24"/>
        </w:rPr>
        <w:t>、采购人可根据项目特点、供应商诚信等因素，要求供应商提交银行、保险公司、担保公司等金融机构出具的预付款保函或其他担保措施。</w:t>
      </w:r>
    </w:p>
    <w:p>
      <w:pPr>
        <w:spacing w:line="520" w:lineRule="exact"/>
        <w:ind w:firstLine="480" w:firstLineChars="200"/>
        <w:jc w:val="left"/>
        <w:rPr>
          <w:rFonts w:ascii="宋体" w:hAnsi="宋体" w:cs="Arial"/>
          <w:sz w:val="24"/>
          <w:szCs w:val="24"/>
        </w:rPr>
      </w:pPr>
      <w:r>
        <w:rPr>
          <w:rFonts w:hint="eastAsia" w:ascii="宋体" w:hAnsi="宋体" w:cs="Arial"/>
          <w:sz w:val="24"/>
          <w:szCs w:val="24"/>
          <w:lang w:val="en-US" w:eastAsia="zh-CN"/>
        </w:rPr>
        <w:t>6</w:t>
      </w:r>
      <w:r>
        <w:rPr>
          <w:rFonts w:hint="eastAsia" w:ascii="宋体" w:hAnsi="宋体" w:cs="Arial"/>
          <w:sz w:val="24"/>
          <w:szCs w:val="24"/>
        </w:rPr>
        <w:t>、政府采购预付款应在合同、担保措施生效以及具备实施条件后 5 个工作日内支付。</w:t>
      </w:r>
    </w:p>
    <w:p>
      <w:pPr>
        <w:spacing w:line="520" w:lineRule="exact"/>
        <w:ind w:firstLine="480" w:firstLineChars="200"/>
        <w:jc w:val="left"/>
        <w:rPr>
          <w:rFonts w:ascii="宋体" w:hAnsi="宋体" w:cs="Arial"/>
          <w:sz w:val="24"/>
          <w:szCs w:val="24"/>
        </w:rPr>
      </w:pPr>
      <w:r>
        <w:rPr>
          <w:rFonts w:hint="eastAsia" w:ascii="宋体" w:hAnsi="宋体" w:cs="Arial"/>
          <w:sz w:val="24"/>
          <w:szCs w:val="24"/>
          <w:lang w:val="en-US" w:eastAsia="zh-CN"/>
        </w:rPr>
        <w:t>7</w:t>
      </w:r>
      <w:r>
        <w:rPr>
          <w:rFonts w:hint="eastAsia" w:ascii="宋体" w:hAnsi="宋体" w:cs="Arial"/>
          <w:sz w:val="24"/>
          <w:szCs w:val="24"/>
        </w:rPr>
        <w:t>、成交供应商无正当理由不与采购人订立合同的处罚依据：</w:t>
      </w:r>
    </w:p>
    <w:p>
      <w:pPr>
        <w:spacing w:line="520" w:lineRule="exact"/>
        <w:ind w:firstLine="480" w:firstLineChars="200"/>
        <w:jc w:val="left"/>
        <w:rPr>
          <w:rFonts w:ascii="宋体" w:hAnsi="宋体" w:cs="Arial"/>
          <w:sz w:val="24"/>
          <w:szCs w:val="24"/>
        </w:rPr>
      </w:pPr>
      <w:r>
        <w:rPr>
          <w:rFonts w:hint="eastAsia" w:ascii="宋体" w:hAnsi="宋体" w:cs="Arial"/>
          <w:sz w:val="24"/>
          <w:szCs w:val="24"/>
        </w:rPr>
        <w:t>（1）《中华人民共和国政府采购法实施条例》</w:t>
      </w:r>
    </w:p>
    <w:p>
      <w:pPr>
        <w:pStyle w:val="33"/>
        <w:spacing w:after="0" w:line="520" w:lineRule="exact"/>
        <w:ind w:firstLine="480" w:firstLineChars="200"/>
      </w:pPr>
      <w:r>
        <w:rPr>
          <w:rFonts w:hint="eastAsia"/>
        </w:rPr>
        <w:t>第七十二条 供应商有下列情形之一的，依照政府采购法第七十七条第一款的规定追究法律责任：……</w:t>
      </w:r>
    </w:p>
    <w:p>
      <w:pPr>
        <w:pStyle w:val="33"/>
        <w:spacing w:after="0" w:line="520" w:lineRule="exact"/>
        <w:ind w:firstLine="480" w:firstLineChars="200"/>
      </w:pPr>
      <w:r>
        <w:rPr>
          <w:rFonts w:hint="eastAsia"/>
        </w:rPr>
        <w:t>（二）中标或者成交后无正当理由拒不与采购人签订政府采购合同；……</w:t>
      </w:r>
    </w:p>
    <w:p>
      <w:pPr>
        <w:pStyle w:val="33"/>
        <w:spacing w:after="0" w:line="520" w:lineRule="exact"/>
        <w:ind w:firstLine="480" w:firstLineChars="200"/>
      </w:pPr>
      <w:r>
        <w:rPr>
          <w:rFonts w:hint="eastAsia"/>
        </w:rPr>
        <w:t>（2）《中华人民共和国政府采购法》</w:t>
      </w:r>
    </w:p>
    <w:p>
      <w:pPr>
        <w:pStyle w:val="33"/>
        <w:spacing w:after="0" w:line="520" w:lineRule="exact"/>
        <w:ind w:firstLine="480" w:firstLineChars="200"/>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33"/>
        <w:spacing w:after="0" w:line="520" w:lineRule="exact"/>
        <w:ind w:firstLine="480" w:firstLineChars="200"/>
      </w:pPr>
      <w:r>
        <w:rPr>
          <w:rFonts w:hint="eastAsia"/>
        </w:rPr>
        <w:t>（3）《政府采购非招标采购方式管理办法》（财政部令第74号）</w:t>
      </w:r>
    </w:p>
    <w:p>
      <w:pPr>
        <w:pStyle w:val="33"/>
        <w:spacing w:after="0" w:line="520" w:lineRule="exact"/>
        <w:ind w:firstLine="480" w:firstLineChars="200"/>
      </w:pPr>
      <w:r>
        <w:rPr>
          <w:rFonts w:hint="eastAsia"/>
        </w:rPr>
        <w:t>第五十四条 成交供应商有下列情形之一的，责令限期整改，情节严重的，列入不良行为记录名单，在1至3年内禁止参加政府采购活动，并予以通报：……</w:t>
      </w:r>
    </w:p>
    <w:p>
      <w:pPr>
        <w:pStyle w:val="33"/>
        <w:spacing w:after="0" w:line="520" w:lineRule="exact"/>
        <w:ind w:firstLine="480" w:firstLineChars="200"/>
        <w:rPr>
          <w:rFonts w:ascii="宋体" w:hAnsi="宋体" w:cs="宋体"/>
          <w:szCs w:val="24"/>
        </w:rPr>
      </w:pPr>
      <w:r>
        <w:rPr>
          <w:rFonts w:hint="eastAsia"/>
        </w:rPr>
        <w:t>（二）成交后无正当理由不与采购人签订合同的；……</w:t>
      </w:r>
    </w:p>
    <w:p>
      <w:pPr>
        <w:pStyle w:val="3"/>
        <w:spacing w:before="120" w:beforeLines="50" w:after="120" w:afterLines="50" w:line="520" w:lineRule="exact"/>
        <w:jc w:val="center"/>
        <w:rPr>
          <w:rFonts w:ascii="宋体" w:hAnsi="宋体" w:eastAsia="宋体" w:cs="宋体"/>
          <w:sz w:val="24"/>
          <w:szCs w:val="24"/>
        </w:rPr>
      </w:pPr>
      <w:bookmarkStart w:id="69" w:name="_Toc1832"/>
      <w:r>
        <w:rPr>
          <w:rFonts w:hint="eastAsia" w:ascii="宋体" w:hAnsi="宋体" w:eastAsia="宋体" w:cs="宋体"/>
          <w:sz w:val="24"/>
          <w:szCs w:val="24"/>
        </w:rPr>
        <w:t>（九）澄清及变更</w:t>
      </w:r>
      <w:bookmarkEnd w:id="69"/>
    </w:p>
    <w:p>
      <w:pPr>
        <w:spacing w:line="520" w:lineRule="exact"/>
        <w:ind w:firstLine="480" w:firstLineChars="200"/>
      </w:pPr>
      <w:r>
        <w:rPr>
          <w:rFonts w:hint="eastAsia" w:ascii="宋体" w:hAnsi="宋体"/>
          <w:sz w:val="24"/>
          <w:szCs w:val="24"/>
        </w:rPr>
        <w:t>磋商文件如有澄清及变更，将以网上公告形式发布，请供应商及时关注。</w:t>
      </w:r>
    </w:p>
    <w:p>
      <w:pPr>
        <w:pStyle w:val="3"/>
        <w:spacing w:before="120" w:beforeLines="50" w:after="120" w:afterLines="50" w:line="520" w:lineRule="exact"/>
        <w:jc w:val="center"/>
        <w:rPr>
          <w:rFonts w:ascii="宋体" w:hAnsi="宋体" w:eastAsia="宋体" w:cs="宋体"/>
          <w:sz w:val="24"/>
          <w:szCs w:val="24"/>
        </w:rPr>
      </w:pPr>
      <w:bookmarkStart w:id="70" w:name="_Toc18928"/>
      <w:r>
        <w:rPr>
          <w:rFonts w:hint="eastAsia" w:ascii="宋体" w:hAnsi="宋体" w:eastAsia="宋体" w:cs="宋体"/>
          <w:sz w:val="24"/>
          <w:szCs w:val="24"/>
        </w:rPr>
        <w:t>（十）验收</w:t>
      </w:r>
      <w:bookmarkEnd w:id="70"/>
      <w:r>
        <w:rPr>
          <w:rFonts w:hint="eastAsia" w:ascii="宋体" w:hAnsi="宋体" w:eastAsia="宋体" w:cs="宋体"/>
          <w:sz w:val="24"/>
          <w:szCs w:val="24"/>
        </w:rPr>
        <w:t>与验收</w:t>
      </w:r>
    </w:p>
    <w:p>
      <w:pPr>
        <w:spacing w:line="520" w:lineRule="exact"/>
        <w:ind w:firstLine="480" w:firstLineChars="200"/>
        <w:rPr>
          <w:rFonts w:ascii="宋体" w:hAnsi="宋体"/>
          <w:sz w:val="24"/>
          <w:szCs w:val="24"/>
        </w:rPr>
      </w:pPr>
      <w:r>
        <w:rPr>
          <w:rFonts w:hint="eastAsia" w:ascii="宋体" w:hAnsi="宋体"/>
          <w:sz w:val="24"/>
          <w:szCs w:val="24"/>
        </w:rPr>
        <w:t>1、采购人应当在项目完成且收到供应商验收申请后 5 个工作日内组织开展履约验收。</w:t>
      </w:r>
    </w:p>
    <w:p>
      <w:pPr>
        <w:spacing w:line="520" w:lineRule="exact"/>
        <w:ind w:firstLine="480" w:firstLineChars="200"/>
        <w:rPr>
          <w:rFonts w:ascii="宋体" w:hAnsi="宋体"/>
          <w:sz w:val="24"/>
          <w:szCs w:val="24"/>
        </w:rPr>
      </w:pPr>
      <w:r>
        <w:rPr>
          <w:rFonts w:hint="eastAsia" w:ascii="宋体" w:hAnsi="宋体"/>
          <w:sz w:val="24"/>
          <w:szCs w:val="24"/>
        </w:rPr>
        <w:t>2、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520" w:lineRule="exact"/>
        <w:ind w:firstLine="480" w:firstLineChars="200"/>
        <w:rPr>
          <w:rFonts w:ascii="宋体" w:hAnsi="宋体"/>
          <w:sz w:val="24"/>
          <w:szCs w:val="24"/>
        </w:rPr>
      </w:pPr>
      <w:r>
        <w:rPr>
          <w:rFonts w:hint="eastAsia" w:ascii="宋体" w:hAnsi="宋体"/>
          <w:sz w:val="24"/>
          <w:szCs w:val="24"/>
        </w:rPr>
        <w:t>3、涉及安全、消防、环保等其他需要由质检或行业主管部门进行验收的项目，必须邀请相关部门或相关专家参与验收。</w:t>
      </w:r>
    </w:p>
    <w:p>
      <w:pPr>
        <w:pStyle w:val="33"/>
        <w:rPr>
          <w:rFonts w:ascii="宋体" w:hAnsi="宋体"/>
          <w:szCs w:val="24"/>
        </w:rPr>
      </w:pPr>
      <w:r>
        <w:rPr>
          <w:rFonts w:hint="eastAsia"/>
        </w:rPr>
        <w:t>4、对于符合支付条件的项目，应</w:t>
      </w:r>
      <w:r>
        <w:rPr>
          <w:rFonts w:hint="eastAsia" w:ascii="宋体" w:hAnsi="宋体"/>
          <w:szCs w:val="24"/>
        </w:rPr>
        <w:t>在收到发票后7个工作日内将资金支付到合同约定的供应商账户，不得以进行审计作为支付供应商款项的条件。采购人不得以机构变动、人员更替、政策调整、履行内部付款流程等为由延迟付款。</w:t>
      </w:r>
    </w:p>
    <w:p>
      <w:pPr>
        <w:pStyle w:val="3"/>
        <w:spacing w:before="120" w:beforeLines="50" w:after="120" w:afterLines="50" w:line="520" w:lineRule="exact"/>
        <w:jc w:val="center"/>
        <w:rPr>
          <w:rFonts w:ascii="宋体" w:hAnsi="宋体" w:eastAsia="宋体" w:cs="宋体"/>
          <w:sz w:val="24"/>
          <w:szCs w:val="24"/>
        </w:rPr>
      </w:pPr>
      <w:bookmarkStart w:id="71" w:name="_Toc3680"/>
      <w:r>
        <w:rPr>
          <w:rFonts w:hint="eastAsia" w:ascii="宋体" w:hAnsi="宋体" w:eastAsia="宋体" w:cs="宋体"/>
          <w:sz w:val="24"/>
          <w:szCs w:val="24"/>
        </w:rPr>
        <w:t>（十一）质疑</w:t>
      </w:r>
      <w:bookmarkEnd w:id="71"/>
    </w:p>
    <w:p>
      <w:pPr>
        <w:spacing w:line="520" w:lineRule="exact"/>
        <w:ind w:firstLine="480" w:firstLineChars="200"/>
        <w:rPr>
          <w:rFonts w:ascii="宋体" w:hAnsi="宋体"/>
          <w:bCs/>
          <w:sz w:val="24"/>
        </w:rPr>
      </w:pPr>
      <w:r>
        <w:rPr>
          <w:rFonts w:hint="eastAsia" w:ascii="宋体" w:hAnsi="宋体"/>
          <w:bCs/>
          <w:sz w:val="24"/>
        </w:rPr>
        <w:t>1、质疑人认为磋商结果使自己的权益受到损害的，可以向采购人及采购代理机构提出质疑。质疑实行实名制，应当有具体的事项及根据，不得进行虚假、恶意质疑，扰乱公共资源交易活动的正常工作秩序。</w:t>
      </w:r>
    </w:p>
    <w:p>
      <w:pPr>
        <w:spacing w:line="520" w:lineRule="exact"/>
        <w:ind w:firstLine="480" w:firstLineChars="200"/>
        <w:rPr>
          <w:rFonts w:ascii="宋体" w:hAnsi="宋体"/>
          <w:bCs/>
          <w:sz w:val="24"/>
        </w:rPr>
      </w:pPr>
      <w:r>
        <w:rPr>
          <w:rFonts w:hint="eastAsia" w:ascii="宋体" w:hAnsi="宋体"/>
          <w:bCs/>
          <w:sz w:val="24"/>
        </w:rPr>
        <w:t xml:space="preserve">2、质疑应在规定时限内提出： </w:t>
      </w:r>
    </w:p>
    <w:p>
      <w:pPr>
        <w:spacing w:line="520" w:lineRule="exact"/>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520" w:lineRule="exact"/>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520" w:lineRule="exact"/>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520" w:lineRule="exact"/>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520" w:lineRule="exact"/>
        <w:ind w:firstLine="480" w:firstLineChars="200"/>
        <w:jc w:val="left"/>
        <w:rPr>
          <w:rFonts w:ascii="宋体" w:hAnsi="宋体"/>
          <w:bCs/>
          <w:sz w:val="24"/>
        </w:rPr>
      </w:pPr>
      <w:r>
        <w:rPr>
          <w:rFonts w:hint="eastAsia" w:ascii="宋体" w:hAnsi="宋体"/>
          <w:bCs/>
          <w:sz w:val="24"/>
        </w:rPr>
        <w:t>3.3被质疑人名称；</w:t>
      </w:r>
    </w:p>
    <w:p>
      <w:pPr>
        <w:widowControl/>
        <w:spacing w:line="520" w:lineRule="exact"/>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520" w:lineRule="exact"/>
        <w:ind w:firstLine="480" w:firstLineChars="200"/>
        <w:jc w:val="left"/>
        <w:rPr>
          <w:rFonts w:ascii="宋体" w:hAnsi="宋体"/>
          <w:bCs/>
          <w:sz w:val="24"/>
        </w:rPr>
      </w:pPr>
      <w:r>
        <w:rPr>
          <w:rFonts w:hint="eastAsia" w:ascii="宋体" w:hAnsi="宋体"/>
          <w:bCs/>
          <w:sz w:val="24"/>
        </w:rPr>
        <w:t>3.5明确的请求及主张；</w:t>
      </w:r>
    </w:p>
    <w:p>
      <w:pPr>
        <w:widowControl/>
        <w:spacing w:line="520" w:lineRule="exact"/>
        <w:ind w:firstLine="480" w:firstLineChars="200"/>
        <w:jc w:val="left"/>
        <w:rPr>
          <w:rFonts w:ascii="宋体" w:hAnsi="宋体"/>
          <w:bCs/>
          <w:sz w:val="24"/>
        </w:rPr>
      </w:pPr>
      <w:r>
        <w:rPr>
          <w:rFonts w:hint="eastAsia" w:ascii="宋体" w:hAnsi="宋体"/>
          <w:bCs/>
          <w:sz w:val="24"/>
        </w:rPr>
        <w:t>3.6提起质疑的日期。</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520" w:lineRule="exact"/>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4.5对其他投标供应商的投标文件详细内容质疑，无法提供合法来源渠道的；</w:t>
      </w:r>
    </w:p>
    <w:p>
      <w:pPr>
        <w:widowControl/>
        <w:spacing w:line="520" w:lineRule="exact"/>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520" w:lineRule="exact"/>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520" w:lineRule="exact"/>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520" w:lineRule="exact"/>
        <w:ind w:firstLine="480" w:firstLineChars="200"/>
        <w:rPr>
          <w:rFonts w:ascii="宋体" w:hAnsi="宋体"/>
          <w:bCs/>
          <w:sz w:val="24"/>
        </w:rPr>
      </w:pPr>
      <w:r>
        <w:rPr>
          <w:rFonts w:hint="eastAsia" w:ascii="宋体" w:hAnsi="宋体"/>
          <w:bCs/>
          <w:sz w:val="24"/>
        </w:rPr>
        <w:t>7、质疑人有下列情形之一的，属于虚假、恶意质疑，将报六安市公共资源交易监督管理局予以处理。</w:t>
      </w:r>
    </w:p>
    <w:p>
      <w:pPr>
        <w:spacing w:line="520" w:lineRule="exact"/>
        <w:ind w:firstLine="480" w:firstLineChars="200"/>
        <w:rPr>
          <w:rFonts w:ascii="宋体" w:hAnsi="宋体"/>
          <w:bCs/>
          <w:sz w:val="24"/>
        </w:rPr>
      </w:pPr>
      <w:r>
        <w:rPr>
          <w:rFonts w:hint="eastAsia" w:ascii="宋体" w:hAnsi="宋体"/>
          <w:bCs/>
          <w:sz w:val="24"/>
        </w:rPr>
        <w:t>7.1一年内三次以上质疑均查无实据的；</w:t>
      </w:r>
    </w:p>
    <w:p>
      <w:pPr>
        <w:spacing w:line="520" w:lineRule="exact"/>
        <w:ind w:firstLine="480" w:firstLineChars="200"/>
        <w:rPr>
          <w:rFonts w:ascii="宋体" w:hAnsi="宋体" w:cs="宋体"/>
          <w:sz w:val="28"/>
          <w:szCs w:val="28"/>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bookmarkStart w:id="72" w:name="_Toc216158630"/>
    </w:p>
    <w:p>
      <w:pPr>
        <w:pStyle w:val="3"/>
        <w:spacing w:before="0" w:after="0" w:line="560" w:lineRule="exact"/>
        <w:jc w:val="center"/>
        <w:rPr>
          <w:rFonts w:ascii="宋体" w:hAnsi="宋体" w:eastAsia="宋体" w:cs="宋体"/>
          <w:sz w:val="28"/>
          <w:szCs w:val="28"/>
        </w:rPr>
      </w:pPr>
      <w:bookmarkStart w:id="73" w:name="_Toc22378"/>
    </w:p>
    <w:p/>
    <w:p>
      <w:pPr>
        <w:pStyle w:val="33"/>
      </w:pPr>
    </w:p>
    <w:p>
      <w:pPr>
        <w:pStyle w:val="33"/>
      </w:pPr>
    </w:p>
    <w:p>
      <w:pPr>
        <w:pStyle w:val="3"/>
        <w:spacing w:before="0" w:after="0"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rPr>
        <w:t>二、采购合</w:t>
      </w:r>
      <w:r>
        <w:rPr>
          <w:rFonts w:hint="eastAsia" w:ascii="宋体" w:hAnsi="宋体" w:eastAsia="宋体" w:cs="宋体"/>
          <w:color w:val="auto"/>
          <w:sz w:val="28"/>
          <w:szCs w:val="28"/>
        </w:rPr>
        <w:t>同</w:t>
      </w:r>
      <w:bookmarkEnd w:id="73"/>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合同可自拟</w:t>
      </w:r>
      <w:r>
        <w:rPr>
          <w:rFonts w:hint="eastAsia" w:ascii="宋体" w:hAnsi="宋体" w:eastAsia="宋体" w:cs="宋体"/>
          <w:color w:val="auto"/>
          <w:sz w:val="28"/>
          <w:szCs w:val="28"/>
          <w:lang w:eastAsia="zh-CN"/>
        </w:rPr>
        <w:t>）</w:t>
      </w:r>
    </w:p>
    <w:bookmarkEnd w:id="72"/>
    <w:p>
      <w:pPr>
        <w:spacing w:line="253" w:lineRule="auto"/>
      </w:pPr>
      <w:bookmarkStart w:id="74" w:name="_Toc363199273"/>
    </w:p>
    <w:p>
      <w:pPr>
        <w:spacing w:line="254" w:lineRule="auto"/>
      </w:pPr>
    </w:p>
    <w:p>
      <w:pPr>
        <w:spacing w:line="254" w:lineRule="auto"/>
      </w:pPr>
    </w:p>
    <w:p>
      <w:r>
        <w:br w:type="page"/>
      </w:r>
    </w:p>
    <w:p/>
    <w:p>
      <w:pPr>
        <w:pStyle w:val="3"/>
        <w:numPr>
          <w:ilvl w:val="0"/>
          <w:numId w:val="3"/>
        </w:numPr>
        <w:spacing w:before="0" w:after="0" w:line="560" w:lineRule="exact"/>
        <w:jc w:val="center"/>
        <w:rPr>
          <w:rFonts w:ascii="宋体" w:hAnsi="宋体" w:eastAsia="宋体" w:cs="宋体"/>
          <w:sz w:val="28"/>
          <w:szCs w:val="28"/>
        </w:rPr>
      </w:pPr>
      <w:bookmarkStart w:id="75" w:name="_Toc17199"/>
      <w:r>
        <w:rPr>
          <w:rFonts w:hint="eastAsia" w:ascii="宋体" w:hAnsi="宋体" w:eastAsia="宋体" w:cs="宋体"/>
          <w:sz w:val="28"/>
          <w:szCs w:val="28"/>
        </w:rPr>
        <w:t>采购需求</w:t>
      </w:r>
      <w:bookmarkEnd w:id="75"/>
    </w:p>
    <w:bookmarkEnd w:id="74"/>
    <w:p>
      <w:pPr>
        <w:pStyle w:val="104"/>
        <w:numPr>
          <w:ilvl w:val="0"/>
          <w:numId w:val="0"/>
        </w:numPr>
        <w:snapToGrid w:val="0"/>
        <w:spacing w:line="360" w:lineRule="auto"/>
        <w:ind w:leftChars="0" w:firstLine="480" w:firstLineChars="200"/>
        <w:rPr>
          <w:rFonts w:hint="eastAsia" w:ascii="宋体" w:hAnsi="宋体" w:eastAsia="宋体" w:cs="宋体"/>
          <w:bCs/>
          <w:color w:val="auto"/>
          <w:kern w:val="0"/>
          <w:sz w:val="24"/>
          <w:szCs w:val="24"/>
          <w:highlight w:val="none"/>
          <w:lang w:val="en-US" w:eastAsia="zh-CN"/>
        </w:rPr>
      </w:pPr>
      <w:bookmarkStart w:id="76" w:name="_Toc19815"/>
      <w:bookmarkStart w:id="77" w:name="_Toc21831"/>
      <w:bookmarkStart w:id="78" w:name="_Toc25911"/>
      <w:r>
        <w:rPr>
          <w:rFonts w:hint="eastAsia" w:ascii="宋体" w:hAnsi="宋体" w:eastAsia="宋体" w:cs="宋体"/>
          <w:color w:val="auto"/>
          <w:sz w:val="24"/>
          <w:szCs w:val="24"/>
          <w:highlight w:val="none"/>
          <w:lang w:eastAsia="zh-CN"/>
        </w:rPr>
        <w:t>本采购项目包括</w:t>
      </w:r>
      <w:r>
        <w:rPr>
          <w:rFonts w:hint="eastAsia" w:ascii="宋体" w:hAnsi="宋体" w:eastAsia="宋体" w:cs="宋体"/>
          <w:color w:val="auto"/>
          <w:sz w:val="24"/>
          <w:szCs w:val="24"/>
          <w:highlight w:val="none"/>
          <w:shd w:val="clear" w:color="auto" w:fill="FFFFFF"/>
          <w:lang w:val="en-US" w:eastAsia="zh-CN" w:bidi="ar"/>
        </w:rPr>
        <w:t>30份临床样本的全转录组</w:t>
      </w:r>
      <w:r>
        <w:rPr>
          <w:rFonts w:hint="eastAsia" w:ascii="宋体" w:hAnsi="宋体" w:eastAsia="宋体" w:cs="宋体"/>
          <w:color w:val="auto"/>
          <w:sz w:val="24"/>
          <w:szCs w:val="24"/>
          <w:highlight w:val="none"/>
          <w:lang w:eastAsia="zh-CN"/>
        </w:rPr>
        <w:t>高通量</w:t>
      </w:r>
      <w:r>
        <w:rPr>
          <w:rFonts w:hint="eastAsia" w:ascii="宋体" w:hAnsi="宋体" w:eastAsia="宋体" w:cs="宋体"/>
          <w:bCs/>
          <w:color w:val="auto"/>
          <w:kern w:val="0"/>
          <w:sz w:val="24"/>
          <w:szCs w:val="24"/>
          <w:highlight w:val="none"/>
        </w:rPr>
        <w:t>测序</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包括但不限于</w:t>
      </w:r>
      <w:r>
        <w:rPr>
          <w:rFonts w:hint="eastAsia" w:ascii="宋体" w:hAnsi="宋体" w:eastAsia="宋体" w:cs="宋体"/>
          <w:b/>
          <w:bCs/>
          <w:color w:val="auto"/>
          <w:kern w:val="0"/>
          <w:sz w:val="24"/>
          <w:szCs w:val="24"/>
          <w:highlight w:val="none"/>
          <w:lang w:val="en-US" w:eastAsia="zh-CN" w:bidi="ar"/>
        </w:rPr>
        <w:t>血清样本RNA提取及其质量控制，</w:t>
      </w:r>
      <w:r>
        <w:rPr>
          <w:rFonts w:hint="eastAsia" w:ascii="宋体" w:hAnsi="宋体" w:eastAsia="宋体" w:cs="宋体"/>
          <w:color w:val="auto"/>
          <w:kern w:val="0"/>
          <w:sz w:val="24"/>
          <w:szCs w:val="24"/>
          <w:highlight w:val="none"/>
          <w:lang w:val="en-US" w:eastAsia="zh-CN" w:bidi="ar"/>
        </w:rPr>
        <w:t>去rRNA链特异性文库构建、Small RNA文库构建及其质量控制，</w:t>
      </w:r>
      <w:r>
        <w:rPr>
          <w:rFonts w:hint="eastAsia" w:ascii="宋体" w:hAnsi="宋体" w:eastAsia="宋体" w:cs="宋体"/>
          <w:b/>
          <w:bCs/>
          <w:color w:val="auto"/>
          <w:kern w:val="0"/>
          <w:sz w:val="24"/>
          <w:szCs w:val="24"/>
          <w:highlight w:val="none"/>
          <w:lang w:val="en-US" w:eastAsia="zh-CN" w:bidi="ar"/>
        </w:rPr>
        <w:t>合格文库的高通量测序</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sz w:val="24"/>
          <w:szCs w:val="24"/>
          <w:highlight w:val="none"/>
          <w:shd w:val="clear" w:color="auto" w:fill="FFFFFF"/>
          <w:lang w:val="en-US" w:eastAsia="zh-CN" w:bidi="ar"/>
        </w:rPr>
        <w:t>和生信分析</w:t>
      </w:r>
      <w:r>
        <w:rPr>
          <w:rFonts w:hint="eastAsia" w:ascii="宋体" w:hAnsi="宋体" w:eastAsia="宋体" w:cs="宋体"/>
          <w:color w:val="auto"/>
          <w:sz w:val="24"/>
          <w:szCs w:val="24"/>
          <w:highlight w:val="none"/>
          <w:shd w:val="clear" w:color="auto" w:fill="FFFFFF"/>
          <w:lang w:eastAsia="zh-CN" w:bidi="ar"/>
        </w:rPr>
        <w:t>（</w:t>
      </w:r>
      <w:r>
        <w:rPr>
          <w:rFonts w:hint="eastAsia" w:ascii="宋体" w:hAnsi="宋体" w:eastAsia="宋体" w:cs="宋体"/>
          <w:bCs/>
          <w:color w:val="auto"/>
          <w:kern w:val="0"/>
          <w:sz w:val="24"/>
          <w:szCs w:val="24"/>
          <w:highlight w:val="none"/>
          <w:lang w:val="en-US" w:eastAsia="zh-CN"/>
        </w:rPr>
        <w:t>包括但不限于</w:t>
      </w:r>
      <w:r>
        <w:rPr>
          <w:rFonts w:hint="eastAsia" w:ascii="宋体" w:hAnsi="宋体" w:eastAsia="宋体" w:cs="宋体"/>
          <w:color w:val="auto"/>
          <w:kern w:val="0"/>
          <w:sz w:val="24"/>
          <w:szCs w:val="24"/>
          <w:highlight w:val="none"/>
          <w:lang w:val="en-US" w:eastAsia="zh-CN" w:bidi="ar"/>
        </w:rPr>
        <w:t>“疾病-对照”组间差异表达分析，筛选关键候选基因及调控网络），</w:t>
      </w:r>
      <w:r>
        <w:rPr>
          <w:rFonts w:hint="eastAsia" w:ascii="宋体" w:hAnsi="宋体" w:eastAsia="宋体" w:cs="宋体"/>
          <w:bCs/>
          <w:color w:val="auto"/>
          <w:kern w:val="0"/>
          <w:sz w:val="24"/>
          <w:szCs w:val="24"/>
          <w:highlight w:val="none"/>
          <w:lang w:val="en-US" w:eastAsia="zh-CN"/>
        </w:rPr>
        <w:t>最高限价10万元整。</w:t>
      </w:r>
    </w:p>
    <w:p>
      <w:pPr>
        <w:pStyle w:val="104"/>
        <w:numPr>
          <w:ilvl w:val="0"/>
          <w:numId w:val="4"/>
        </w:numPr>
        <w:snapToGrid w:val="0"/>
        <w:spacing w:line="360" w:lineRule="auto"/>
        <w:ind w:lef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服务项目</w:t>
      </w:r>
    </w:p>
    <w:tbl>
      <w:tblPr>
        <w:tblStyle w:val="35"/>
        <w:tblpPr w:leftFromText="180" w:rightFromText="180" w:vertAnchor="text" w:horzAnchor="page" w:tblpXSpec="center" w:tblpY="518"/>
        <w:tblOverlap w:val="never"/>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416"/>
        <w:gridCol w:w="3273"/>
        <w:gridCol w:w="894"/>
        <w:gridCol w:w="1280"/>
        <w:gridCol w:w="1042"/>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32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73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w:t>
            </w:r>
          </w:p>
        </w:tc>
        <w:tc>
          <w:tcPr>
            <w:tcW w:w="1708" w:type="pct"/>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shd w:val="clear" w:color="auto" w:fill="FFFFFF"/>
              </w:rPr>
              <w:t>项目内涵</w:t>
            </w:r>
          </w:p>
        </w:tc>
        <w:tc>
          <w:tcPr>
            <w:tcW w:w="466" w:type="pct"/>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shd w:val="clear" w:color="auto" w:fill="FFFFFF"/>
              </w:rPr>
              <w:t>单位</w:t>
            </w:r>
          </w:p>
        </w:tc>
        <w:tc>
          <w:tcPr>
            <w:tcW w:w="668" w:type="pct"/>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单价（元）</w:t>
            </w:r>
          </w:p>
        </w:tc>
        <w:tc>
          <w:tcPr>
            <w:tcW w:w="543" w:type="pct"/>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center"/>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数量</w:t>
            </w:r>
          </w:p>
        </w:tc>
        <w:tc>
          <w:tcPr>
            <w:tcW w:w="543" w:type="pct"/>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329" w:type="pct"/>
            <w:tcBorders>
              <w:top w:val="single" w:color="auto" w:sz="4" w:space="0"/>
              <w:left w:val="single" w:color="auto" w:sz="4" w:space="0"/>
              <w:right w:val="single" w:color="auto" w:sz="4" w:space="0"/>
            </w:tcBorders>
            <w:noWrap w:val="0"/>
            <w:vAlign w:val="center"/>
          </w:tcPr>
          <w:p>
            <w:pPr>
              <w:pageBreakBefore w:val="0"/>
              <w:tabs>
                <w:tab w:val="left" w:pos="8715"/>
              </w:tabs>
              <w:kinsoku/>
              <w:overflowPunct/>
              <w:topLinePunct w:val="0"/>
              <w:bidi w:val="0"/>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39" w:type="pct"/>
            <w:tcBorders>
              <w:top w:val="single" w:color="auto" w:sz="4" w:space="0"/>
              <w:left w:val="single" w:color="auto" w:sz="4" w:space="0"/>
              <w:right w:val="single" w:color="auto" w:sz="4" w:space="0"/>
            </w:tcBorders>
            <w:noWrap w:val="0"/>
            <w:vAlign w:val="center"/>
          </w:tcPr>
          <w:p>
            <w:pPr>
              <w:pageBreakBefore w:val="0"/>
              <w:kinsoku/>
              <w:overflowPunct/>
              <w:topLinePunct w:val="0"/>
              <w:bidi w:val="0"/>
              <w:spacing w:line="288" w:lineRule="auto"/>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基因测序</w:t>
            </w:r>
          </w:p>
        </w:tc>
        <w:tc>
          <w:tcPr>
            <w:tcW w:w="1708" w:type="pct"/>
            <w:tcBorders>
              <w:top w:val="single" w:color="auto" w:sz="4" w:space="0"/>
              <w:left w:val="nil"/>
              <w:right w:val="single" w:color="auto" w:sz="4" w:space="0"/>
            </w:tcBorders>
            <w:noWrap w:val="0"/>
            <w:vAlign w:val="center"/>
          </w:tcPr>
          <w:p>
            <w:pPr>
              <w:pageBreakBefore w:val="0"/>
              <w:kinsoku/>
              <w:overflowPunct/>
              <w:topLinePunct w:val="0"/>
              <w:bidi w:val="0"/>
              <w:spacing w:line="288"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shd w:val="clear" w:color="auto" w:fill="FFFFFF"/>
                <w:lang w:val="en-US" w:eastAsia="zh-CN" w:bidi="ar"/>
              </w:rPr>
              <w:t>全转录组</w:t>
            </w:r>
            <w:r>
              <w:rPr>
                <w:rFonts w:hint="eastAsia" w:ascii="宋体" w:hAnsi="宋体" w:eastAsia="宋体" w:cs="宋体"/>
                <w:color w:val="auto"/>
                <w:sz w:val="24"/>
                <w:szCs w:val="24"/>
                <w:highlight w:val="none"/>
                <w:lang w:eastAsia="zh-CN"/>
              </w:rPr>
              <w:t>高通量</w:t>
            </w:r>
            <w:r>
              <w:rPr>
                <w:rFonts w:hint="eastAsia" w:ascii="宋体" w:hAnsi="宋体" w:eastAsia="宋体" w:cs="宋体"/>
                <w:bCs/>
                <w:color w:val="auto"/>
                <w:kern w:val="0"/>
                <w:sz w:val="24"/>
                <w:szCs w:val="24"/>
                <w:highlight w:val="none"/>
              </w:rPr>
              <w:t>测序</w:t>
            </w:r>
          </w:p>
        </w:tc>
        <w:tc>
          <w:tcPr>
            <w:tcW w:w="466" w:type="pct"/>
            <w:tcBorders>
              <w:top w:val="single" w:color="auto" w:sz="4" w:space="0"/>
              <w:left w:val="nil"/>
              <w:right w:val="single" w:color="auto" w:sz="4" w:space="0"/>
            </w:tcBorders>
            <w:noWrap w:val="0"/>
            <w:vAlign w:val="center"/>
          </w:tcPr>
          <w:p>
            <w:pPr>
              <w:pageBreakBefore w:val="0"/>
              <w:tabs>
                <w:tab w:val="left" w:pos="8715"/>
              </w:tabs>
              <w:kinsoku/>
              <w:overflowPunct/>
              <w:topLinePunct w:val="0"/>
              <w:bidi w:val="0"/>
              <w:spacing w:line="288"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每样本</w:t>
            </w:r>
          </w:p>
        </w:tc>
        <w:tc>
          <w:tcPr>
            <w:tcW w:w="668" w:type="pct"/>
            <w:tcBorders>
              <w:top w:val="single" w:color="auto" w:sz="4" w:space="0"/>
              <w:left w:val="nil"/>
              <w:bottom w:val="single" w:color="auto" w:sz="4" w:space="0"/>
              <w:right w:val="single" w:color="auto" w:sz="4" w:space="0"/>
            </w:tcBorders>
            <w:noWrap w:val="0"/>
            <w:vAlign w:val="center"/>
          </w:tcPr>
          <w:p>
            <w:pPr>
              <w:pageBreakBefore w:val="0"/>
              <w:tabs>
                <w:tab w:val="left" w:pos="8715"/>
              </w:tabs>
              <w:kinsoku/>
              <w:overflowPunct/>
              <w:topLinePunct w:val="0"/>
              <w:bidi w:val="0"/>
              <w:spacing w:line="288" w:lineRule="auto"/>
              <w:jc w:val="center"/>
              <w:rPr>
                <w:rFonts w:hint="eastAsia" w:ascii="宋体" w:hAnsi="宋体" w:eastAsia="宋体" w:cs="宋体"/>
                <w:bCs/>
                <w:color w:val="auto"/>
                <w:kern w:val="0"/>
                <w:sz w:val="24"/>
                <w:szCs w:val="24"/>
                <w:highlight w:val="none"/>
              </w:rPr>
            </w:pPr>
          </w:p>
        </w:tc>
        <w:tc>
          <w:tcPr>
            <w:tcW w:w="543" w:type="pct"/>
            <w:tcBorders>
              <w:top w:val="single" w:color="auto" w:sz="4" w:space="0"/>
              <w:left w:val="nil"/>
              <w:right w:val="single" w:color="auto" w:sz="4" w:space="0"/>
            </w:tcBorders>
            <w:noWrap w:val="0"/>
            <w:vAlign w:val="center"/>
          </w:tcPr>
          <w:p>
            <w:pPr>
              <w:pageBreakBefore w:val="0"/>
              <w:tabs>
                <w:tab w:val="left" w:pos="8715"/>
              </w:tabs>
              <w:kinsoku/>
              <w:overflowPunct/>
              <w:topLinePunct w:val="0"/>
              <w:bidi w:val="0"/>
              <w:spacing w:line="288" w:lineRule="auto"/>
              <w:jc w:val="center"/>
              <w:rPr>
                <w:rFonts w:hint="default" w:ascii="宋体" w:hAnsi="宋体" w:eastAsia="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30</w:t>
            </w:r>
          </w:p>
        </w:tc>
        <w:tc>
          <w:tcPr>
            <w:tcW w:w="543" w:type="pct"/>
            <w:vMerge w:val="restart"/>
            <w:tcBorders>
              <w:top w:val="single" w:color="auto" w:sz="4" w:space="0"/>
              <w:left w:val="nil"/>
              <w:right w:val="single" w:color="auto" w:sz="4" w:space="0"/>
            </w:tcBorders>
            <w:noWrap w:val="0"/>
            <w:vAlign w:val="center"/>
          </w:tcPr>
          <w:p>
            <w:pPr>
              <w:pageBreakBefore w:val="0"/>
              <w:tabs>
                <w:tab w:val="left" w:pos="8715"/>
              </w:tabs>
              <w:kinsoku/>
              <w:overflowPunct/>
              <w:topLinePunct w:val="0"/>
              <w:bidi w:val="0"/>
              <w:spacing w:line="288" w:lineRule="auto"/>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329" w:type="pct"/>
            <w:tcBorders>
              <w:left w:val="single" w:color="auto" w:sz="4" w:space="0"/>
              <w:right w:val="single" w:color="auto" w:sz="4" w:space="0"/>
            </w:tcBorders>
            <w:noWrap w:val="0"/>
            <w:vAlign w:val="center"/>
          </w:tcPr>
          <w:p>
            <w:pPr>
              <w:pageBreakBefore w:val="0"/>
              <w:tabs>
                <w:tab w:val="left" w:pos="8715"/>
              </w:tabs>
              <w:kinsoku/>
              <w:overflowPunct/>
              <w:topLinePunct w:val="0"/>
              <w:bidi w:val="0"/>
              <w:spacing w:line="288"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739" w:type="pct"/>
            <w:tcBorders>
              <w:left w:val="single" w:color="auto" w:sz="4" w:space="0"/>
              <w:right w:val="single" w:color="auto" w:sz="4" w:space="0"/>
            </w:tcBorders>
            <w:noWrap w:val="0"/>
            <w:vAlign w:val="center"/>
          </w:tcPr>
          <w:p>
            <w:pPr>
              <w:pageBreakBefore w:val="0"/>
              <w:tabs>
                <w:tab w:val="left" w:pos="8715"/>
              </w:tabs>
              <w:kinsoku/>
              <w:overflowPunct/>
              <w:topLinePunct w:val="0"/>
              <w:bidi w:val="0"/>
              <w:spacing w:line="288"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生信分析</w:t>
            </w:r>
          </w:p>
        </w:tc>
        <w:tc>
          <w:tcPr>
            <w:tcW w:w="1708" w:type="pct"/>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包括“基本分析+高级分析+</w:t>
            </w:r>
            <w:r>
              <w:rPr>
                <w:rFonts w:hint="eastAsia" w:ascii="宋体" w:hAnsi="宋体" w:eastAsia="宋体" w:cs="宋体"/>
                <w:color w:val="auto"/>
                <w:sz w:val="24"/>
                <w:szCs w:val="24"/>
                <w:highlight w:val="none"/>
              </w:rPr>
              <w:t>个性化分析”</w:t>
            </w:r>
          </w:p>
        </w:tc>
        <w:tc>
          <w:tcPr>
            <w:tcW w:w="466" w:type="pct"/>
            <w:tcBorders>
              <w:top w:val="single" w:color="auto" w:sz="4" w:space="0"/>
              <w:left w:val="nil"/>
              <w:bottom w:val="single" w:color="auto" w:sz="4" w:space="0"/>
              <w:right w:val="single" w:color="auto" w:sz="4" w:space="0"/>
            </w:tcBorders>
            <w:noWrap w:val="0"/>
            <w:vAlign w:val="center"/>
          </w:tcPr>
          <w:p>
            <w:pPr>
              <w:pageBreakBefore w:val="0"/>
              <w:kinsoku/>
              <w:overflowPunct/>
              <w:topLinePunct w:val="0"/>
              <w:bidi w:val="0"/>
              <w:spacing w:line="288"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每样本</w:t>
            </w:r>
          </w:p>
        </w:tc>
        <w:tc>
          <w:tcPr>
            <w:tcW w:w="668" w:type="pct"/>
            <w:tcBorders>
              <w:top w:val="single" w:color="auto" w:sz="4" w:space="0"/>
              <w:left w:val="nil"/>
              <w:bottom w:val="single" w:color="auto" w:sz="4" w:space="0"/>
              <w:right w:val="single" w:color="auto" w:sz="4" w:space="0"/>
            </w:tcBorders>
            <w:noWrap w:val="0"/>
            <w:vAlign w:val="center"/>
          </w:tcPr>
          <w:p>
            <w:pPr>
              <w:pageBreakBefore w:val="0"/>
              <w:tabs>
                <w:tab w:val="left" w:pos="8715"/>
              </w:tabs>
              <w:kinsoku/>
              <w:overflowPunct/>
              <w:topLinePunct w:val="0"/>
              <w:bidi w:val="0"/>
              <w:spacing w:line="288" w:lineRule="auto"/>
              <w:jc w:val="center"/>
              <w:rPr>
                <w:rFonts w:hint="eastAsia" w:ascii="宋体" w:hAnsi="宋体" w:eastAsia="宋体" w:cs="宋体"/>
                <w:bCs/>
                <w:color w:val="auto"/>
                <w:kern w:val="0"/>
                <w:sz w:val="24"/>
                <w:szCs w:val="24"/>
                <w:highlight w:val="none"/>
              </w:rPr>
            </w:pPr>
          </w:p>
        </w:tc>
        <w:tc>
          <w:tcPr>
            <w:tcW w:w="543" w:type="pct"/>
            <w:tcBorders>
              <w:left w:val="nil"/>
              <w:right w:val="single" w:color="auto" w:sz="4" w:space="0"/>
            </w:tcBorders>
            <w:noWrap w:val="0"/>
            <w:vAlign w:val="center"/>
          </w:tcPr>
          <w:p>
            <w:pPr>
              <w:pageBreakBefore w:val="0"/>
              <w:tabs>
                <w:tab w:val="left" w:pos="8715"/>
              </w:tabs>
              <w:kinsoku/>
              <w:overflowPunct/>
              <w:topLinePunct w:val="0"/>
              <w:bidi w:val="0"/>
              <w:spacing w:line="288" w:lineRule="auto"/>
              <w:jc w:val="center"/>
              <w:rPr>
                <w:rFonts w:hint="default" w:ascii="宋体" w:hAnsi="宋体" w:eastAsia="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30</w:t>
            </w:r>
          </w:p>
        </w:tc>
        <w:tc>
          <w:tcPr>
            <w:tcW w:w="543" w:type="pct"/>
            <w:vMerge w:val="continue"/>
            <w:tcBorders>
              <w:left w:val="nil"/>
              <w:right w:val="single" w:color="auto" w:sz="4" w:space="0"/>
            </w:tcBorders>
            <w:noWrap w:val="0"/>
            <w:vAlign w:val="center"/>
          </w:tcPr>
          <w:p>
            <w:pPr>
              <w:pageBreakBefore w:val="0"/>
              <w:tabs>
                <w:tab w:val="left" w:pos="8715"/>
              </w:tabs>
              <w:kinsoku/>
              <w:overflowPunct/>
              <w:topLinePunct w:val="0"/>
              <w:bidi w:val="0"/>
              <w:spacing w:line="288" w:lineRule="auto"/>
              <w:jc w:val="center"/>
              <w:rPr>
                <w:rFonts w:hint="eastAsia" w:ascii="宋体" w:hAnsi="宋体" w:eastAsia="宋体" w:cs="宋体"/>
                <w:bCs/>
                <w:color w:val="auto"/>
                <w:kern w:val="0"/>
                <w:sz w:val="24"/>
                <w:szCs w:val="24"/>
                <w:highlight w:val="none"/>
              </w:rPr>
            </w:pPr>
          </w:p>
        </w:tc>
      </w:tr>
    </w:tbl>
    <w:p>
      <w:pPr>
        <w:pStyle w:val="31"/>
        <w:pageBreakBefore w:val="0"/>
        <w:kinsoku/>
        <w:overflowPunct/>
        <w:topLinePunct w:val="0"/>
        <w:bidi w:val="0"/>
        <w:spacing w:before="0" w:beforeAutospacing="0" w:after="0" w:afterAutospacing="0" w:line="240" w:lineRule="auto"/>
        <w:jc w:val="both"/>
        <w:rPr>
          <w:rFonts w:hint="eastAsia" w:ascii="宋体" w:hAnsi="宋体" w:eastAsia="宋体" w:cs="宋体"/>
          <w:b/>
          <w:bCs/>
          <w:color w:val="auto"/>
          <w:sz w:val="24"/>
          <w:szCs w:val="24"/>
          <w:highlight w:val="none"/>
          <w:lang w:eastAsia="zh-CN"/>
        </w:rPr>
      </w:pPr>
    </w:p>
    <w:p>
      <w:pPr>
        <w:pStyle w:val="31"/>
        <w:pageBreakBefore w:val="0"/>
        <w:kinsoku/>
        <w:overflowPunct/>
        <w:topLinePunct w:val="0"/>
        <w:bidi w:val="0"/>
        <w:spacing w:before="0" w:beforeAutospacing="0" w:after="0" w:afterAutospacing="0" w:line="288" w:lineRule="auto"/>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技术和服务要求</w:t>
      </w:r>
    </w:p>
    <w:p>
      <w:pPr>
        <w:keepNext w:val="0"/>
        <w:keepLines w:val="0"/>
        <w:pageBreakBefore w:val="0"/>
        <w:widowControl/>
        <w:numPr>
          <w:ilvl w:val="0"/>
          <w:numId w:val="5"/>
        </w:numPr>
        <w:kinsoku/>
        <w:wordWrap/>
        <w:overflowPunct/>
        <w:topLinePunct w:val="0"/>
        <w:autoSpaceDE/>
        <w:autoSpaceDN/>
        <w:bidi w:val="0"/>
        <w:adjustRightInd/>
        <w:snapToGrid/>
        <w:spacing w:after="0" w:line="288" w:lineRule="auto"/>
        <w:ind w:left="425" w:leftChars="0" w:hanging="425"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血浆样本mRNA提取、建库及其质量控制</w:t>
      </w:r>
    </w:p>
    <w:p>
      <w:pPr>
        <w:keepNext w:val="0"/>
        <w:keepLines w:val="0"/>
        <w:pageBreakBefore w:val="0"/>
        <w:widowControl/>
        <w:numPr>
          <w:ilvl w:val="1"/>
          <w:numId w:val="5"/>
        </w:numPr>
        <w:kinsoku/>
        <w:wordWrap/>
        <w:overflowPunct/>
        <w:topLinePunct w:val="0"/>
        <w:autoSpaceDE/>
        <w:autoSpaceDN/>
        <w:bidi w:val="0"/>
        <w:adjustRightInd/>
        <w:snapToGrid/>
        <w:spacing w:after="0" w:line="288" w:lineRule="auto"/>
        <w:ind w:left="567" w:leftChars="0" w:hanging="567"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RNA提取与检测</w:t>
      </w:r>
    </w:p>
    <w:p>
      <w:pPr>
        <w:keepNext w:val="0"/>
        <w:keepLines w:val="0"/>
        <w:pageBreakBefore w:val="0"/>
        <w:widowControl/>
        <w:numPr>
          <w:ilvl w:val="2"/>
          <w:numId w:val="5"/>
        </w:numPr>
        <w:kinsoku/>
        <w:wordWrap/>
        <w:overflowPunct/>
        <w:topLinePunct w:val="0"/>
        <w:autoSpaceDE/>
        <w:autoSpaceDN/>
        <w:bidi w:val="0"/>
        <w:adjustRightInd/>
        <w:snapToGrid/>
        <w:spacing w:after="0" w:line="288" w:lineRule="auto"/>
        <w:ind w:left="709" w:leftChars="0" w:hanging="709"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使用Nanodrop 2000对所提RNA的浓度和纯度进行检测，单次建库要求totalRNA总量2µg，浓度≥300ng/µL，OD260/280介于1.8</w:t>
      </w:r>
      <w:r>
        <w:rPr>
          <w:rFonts w:hint="eastAsia" w:ascii="微软雅黑" w:hAnsi="微软雅黑" w:eastAsia="微软雅黑" w:cs="微软雅黑"/>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2.2之间</w:t>
      </w:r>
    </w:p>
    <w:p>
      <w:pPr>
        <w:keepNext w:val="0"/>
        <w:keepLines w:val="0"/>
        <w:pageBreakBefore w:val="0"/>
        <w:widowControl/>
        <w:numPr>
          <w:ilvl w:val="2"/>
          <w:numId w:val="5"/>
        </w:numPr>
        <w:kinsoku/>
        <w:wordWrap/>
        <w:overflowPunct/>
        <w:topLinePunct w:val="0"/>
        <w:autoSpaceDE/>
        <w:autoSpaceDN/>
        <w:bidi w:val="0"/>
        <w:adjustRightInd/>
        <w:snapToGrid/>
        <w:spacing w:after="0" w:line="288" w:lineRule="auto"/>
        <w:ind w:left="709" w:leftChars="0" w:hanging="709"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Agilent 2100精确检测RNA的完整性，检测指标包括：RIN值、28S/18S、 图谱基线有无上抬、 5S峰</w:t>
      </w:r>
    </w:p>
    <w:p>
      <w:pPr>
        <w:keepNext w:val="0"/>
        <w:keepLines w:val="0"/>
        <w:pageBreakBefore w:val="0"/>
        <w:widowControl/>
        <w:numPr>
          <w:ilvl w:val="2"/>
          <w:numId w:val="5"/>
        </w:numPr>
        <w:kinsoku/>
        <w:wordWrap/>
        <w:overflowPunct/>
        <w:topLinePunct w:val="0"/>
        <w:autoSpaceDE/>
        <w:autoSpaceDN/>
        <w:bidi w:val="0"/>
        <w:adjustRightInd/>
        <w:snapToGrid/>
        <w:spacing w:after="0" w:line="288" w:lineRule="auto"/>
        <w:ind w:left="709" w:leftChars="0" w:hanging="709" w:firstLineChars="0"/>
        <w:jc w:val="both"/>
        <w:textAlignment w:val="auto"/>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电泳检测RNA样品是否弥散或有基因组DNA的污染。</w:t>
      </w:r>
    </w:p>
    <w:p>
      <w:pPr>
        <w:keepNext w:val="0"/>
        <w:keepLines w:val="0"/>
        <w:pageBreakBefore w:val="0"/>
        <w:widowControl/>
        <w:numPr>
          <w:ilvl w:val="1"/>
          <w:numId w:val="5"/>
        </w:numPr>
        <w:kinsoku/>
        <w:wordWrap/>
        <w:overflowPunct/>
        <w:topLinePunct w:val="0"/>
        <w:autoSpaceDE/>
        <w:autoSpaceDN/>
        <w:bidi w:val="0"/>
        <w:adjustRightInd/>
        <w:snapToGrid/>
        <w:spacing w:after="0" w:line="288" w:lineRule="auto"/>
        <w:ind w:left="567" w:leftChars="0" w:hanging="567" w:firstLineChars="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bCs/>
          <w:color w:val="auto"/>
          <w:kern w:val="0"/>
          <w:sz w:val="24"/>
          <w:szCs w:val="24"/>
          <w:highlight w:val="none"/>
          <w:lang w:val="en-US" w:eastAsia="zh-CN" w:bidi="ar"/>
        </w:rPr>
        <w:t>建库及其质量控制</w:t>
      </w:r>
    </w:p>
    <w:p>
      <w:pPr>
        <w:keepNext w:val="0"/>
        <w:keepLines w:val="0"/>
        <w:pageBreakBefore w:val="0"/>
        <w:widowControl/>
        <w:numPr>
          <w:ilvl w:val="2"/>
          <w:numId w:val="5"/>
        </w:numPr>
        <w:kinsoku/>
        <w:wordWrap/>
        <w:overflowPunct/>
        <w:topLinePunct w:val="0"/>
        <w:autoSpaceDE/>
        <w:autoSpaceDN/>
        <w:bidi w:val="0"/>
        <w:adjustRightInd/>
        <w:snapToGrid/>
        <w:spacing w:after="0" w:line="288" w:lineRule="auto"/>
        <w:ind w:left="709" w:leftChars="0" w:hanging="709"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构建合格去rRNA链特异性文库构建、Small RNA文库，</w:t>
      </w:r>
      <w:r>
        <w:rPr>
          <w:rFonts w:hint="eastAsia" w:ascii="宋体" w:hAnsi="宋体" w:eastAsia="宋体" w:cs="宋体"/>
          <w:color w:val="auto"/>
          <w:sz w:val="24"/>
          <w:szCs w:val="24"/>
          <w:highlight w:val="none"/>
        </w:rPr>
        <w:t>使用Qubit和Agilent 2100对文库的片段有效浓度进行准确定量</w:t>
      </w:r>
    </w:p>
    <w:p>
      <w:pPr>
        <w:keepNext w:val="0"/>
        <w:keepLines w:val="0"/>
        <w:pageBreakBefore w:val="0"/>
        <w:widowControl/>
        <w:numPr>
          <w:ilvl w:val="2"/>
          <w:numId w:val="5"/>
        </w:numPr>
        <w:kinsoku/>
        <w:wordWrap/>
        <w:overflowPunct/>
        <w:topLinePunct w:val="0"/>
        <w:autoSpaceDE/>
        <w:autoSpaceDN/>
        <w:bidi w:val="0"/>
        <w:adjustRightInd/>
        <w:snapToGrid/>
        <w:spacing w:after="0" w:line="288" w:lineRule="auto"/>
        <w:ind w:left="709" w:leftChars="0" w:hanging="709"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合格</w:t>
      </w:r>
      <w:r>
        <w:rPr>
          <w:rFonts w:hint="eastAsia" w:ascii="宋体" w:hAnsi="宋体" w:eastAsia="宋体" w:cs="宋体"/>
          <w:color w:val="auto"/>
          <w:sz w:val="24"/>
          <w:szCs w:val="24"/>
          <w:highlight w:val="none"/>
        </w:rPr>
        <w:t>样本出现文库构建失败情况，成交供应商需要免费再次构建文库直至文库</w:t>
      </w:r>
      <w:r>
        <w:rPr>
          <w:rFonts w:hint="eastAsia" w:ascii="宋体" w:hAnsi="宋体" w:eastAsia="宋体" w:cs="宋体"/>
          <w:color w:val="auto"/>
          <w:sz w:val="24"/>
          <w:szCs w:val="24"/>
          <w:highlight w:val="none"/>
          <w:lang w:eastAsia="zh-CN"/>
        </w:rPr>
        <w:t>质</w:t>
      </w:r>
      <w:r>
        <w:rPr>
          <w:rFonts w:hint="eastAsia" w:ascii="宋体" w:hAnsi="宋体" w:eastAsia="宋体" w:cs="宋体"/>
          <w:color w:val="auto"/>
          <w:sz w:val="24"/>
          <w:szCs w:val="24"/>
          <w:highlight w:val="none"/>
        </w:rPr>
        <w:t>控合格为止。</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425" w:leftChars="0" w:hanging="425"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测序数据处理</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 xml:space="preserve">2.1.  </w:t>
      </w:r>
      <w:r>
        <w:rPr>
          <w:rFonts w:hint="eastAsia" w:ascii="宋体" w:hAnsi="宋体" w:eastAsia="宋体" w:cs="宋体"/>
          <w:b w:val="0"/>
          <w:bCs w:val="0"/>
          <w:color w:val="auto"/>
          <w:sz w:val="24"/>
          <w:szCs w:val="24"/>
          <w:highlight w:val="none"/>
        </w:rPr>
        <w:t>原始数据进行去除接头、污染序列及低质量 reads 的处理</w:t>
      </w:r>
    </w:p>
    <w:p>
      <w:pPr>
        <w:keepNext w:val="0"/>
        <w:keepLines w:val="0"/>
        <w:pageBreakBefore w:val="0"/>
        <w:widowControl/>
        <w:numPr>
          <w:ilvl w:val="0"/>
          <w:numId w:val="0"/>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2.2.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测序数据产量统计及质量评估</w:t>
      </w:r>
    </w:p>
    <w:p>
      <w:pPr>
        <w:keepNext w:val="0"/>
        <w:keepLines w:val="0"/>
        <w:pageBreakBefore w:val="0"/>
        <w:widowControl/>
        <w:numPr>
          <w:ilvl w:val="0"/>
          <w:numId w:val="7"/>
        </w:numPr>
        <w:kinsoku/>
        <w:wordWrap/>
        <w:overflowPunct/>
        <w:topLinePunct w:val="0"/>
        <w:autoSpaceDE/>
        <w:autoSpaceDN/>
        <w:bidi w:val="0"/>
        <w:adjustRightInd/>
        <w:snapToGrid/>
        <w:spacing w:after="0" w:line="288" w:lineRule="auto"/>
        <w:ind w:left="425" w:leftChars="0" w:hanging="425"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测序数据分析</w:t>
      </w:r>
    </w:p>
    <w:p>
      <w:pPr>
        <w:keepNext w:val="0"/>
        <w:keepLines w:val="0"/>
        <w:pageBreakBefore w:val="0"/>
        <w:widowControl/>
        <w:numPr>
          <w:ilvl w:val="1"/>
          <w:numId w:val="7"/>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以</w:t>
      </w:r>
      <w:r>
        <w:rPr>
          <w:rFonts w:hint="eastAsia" w:ascii="宋体" w:hAnsi="宋体" w:eastAsia="宋体" w:cs="宋体"/>
          <w:color w:val="auto"/>
          <w:sz w:val="24"/>
          <w:szCs w:val="24"/>
          <w:highlight w:val="none"/>
          <w:lang w:val="en-US" w:eastAsia="zh-CN"/>
        </w:rPr>
        <w:t>hg38转录子组</w:t>
      </w:r>
      <w:r>
        <w:rPr>
          <w:rFonts w:hint="eastAsia" w:ascii="宋体" w:hAnsi="宋体" w:eastAsia="宋体" w:cs="宋体"/>
          <w:color w:val="auto"/>
          <w:sz w:val="24"/>
          <w:szCs w:val="24"/>
          <w:highlight w:val="none"/>
          <w:lang w:eastAsia="zh-CN"/>
        </w:rPr>
        <w:t>国家指定的标准物质等做参考</w:t>
      </w:r>
    </w:p>
    <w:p>
      <w:pPr>
        <w:keepNext w:val="0"/>
        <w:keepLines w:val="0"/>
        <w:pageBreakBefore w:val="0"/>
        <w:widowControl/>
        <w:numPr>
          <w:ilvl w:val="1"/>
          <w:numId w:val="7"/>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分析各种RNA</w:t>
      </w:r>
      <w:r>
        <w:rPr>
          <w:rFonts w:hint="eastAsia" w:ascii="宋体" w:hAnsi="宋体" w:eastAsia="宋体" w:cs="宋体"/>
          <w:color w:val="auto"/>
          <w:sz w:val="24"/>
          <w:szCs w:val="24"/>
          <w:highlight w:val="none"/>
        </w:rPr>
        <w:t>表达水平</w:t>
      </w:r>
    </w:p>
    <w:p>
      <w:pPr>
        <w:keepNext w:val="0"/>
        <w:keepLines w:val="0"/>
        <w:pageBreakBefore w:val="0"/>
        <w:widowControl/>
        <w:numPr>
          <w:ilvl w:val="1"/>
          <w:numId w:val="7"/>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分析各种RNA</w:t>
      </w:r>
      <w:r>
        <w:rPr>
          <w:rFonts w:hint="eastAsia" w:ascii="宋体" w:hAnsi="宋体" w:eastAsia="宋体" w:cs="宋体"/>
          <w:color w:val="auto"/>
          <w:sz w:val="24"/>
          <w:szCs w:val="24"/>
          <w:highlight w:val="none"/>
        </w:rPr>
        <w:t>差异表达</w:t>
      </w:r>
      <w:r>
        <w:rPr>
          <w:rFonts w:hint="eastAsia" w:ascii="宋体" w:hAnsi="宋体" w:eastAsia="宋体" w:cs="宋体"/>
          <w:color w:val="auto"/>
          <w:sz w:val="24"/>
          <w:szCs w:val="24"/>
          <w:highlight w:val="none"/>
          <w:lang w:eastAsia="zh-CN"/>
        </w:rPr>
        <w:t>水平</w:t>
      </w:r>
    </w:p>
    <w:p>
      <w:pPr>
        <w:keepNext w:val="0"/>
        <w:keepLines w:val="0"/>
        <w:pageBreakBefore w:val="0"/>
        <w:widowControl/>
        <w:numPr>
          <w:ilvl w:val="1"/>
          <w:numId w:val="7"/>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比较正常人、患者及国家标准样本的为蛋白质编码的mRNA表达</w:t>
      </w:r>
    </w:p>
    <w:p>
      <w:pPr>
        <w:keepNext w:val="0"/>
        <w:keepLines w:val="0"/>
        <w:pageBreakBefore w:val="0"/>
        <w:widowControl/>
        <w:numPr>
          <w:ilvl w:val="1"/>
          <w:numId w:val="7"/>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分析潜在的</w:t>
      </w:r>
      <w:r>
        <w:rPr>
          <w:rFonts w:hint="eastAsia" w:ascii="宋体" w:hAnsi="宋体" w:eastAsia="宋体" w:cs="宋体"/>
          <w:color w:val="auto"/>
          <w:sz w:val="24"/>
          <w:szCs w:val="24"/>
          <w:highlight w:val="none"/>
        </w:rPr>
        <w:t>新转录本</w:t>
      </w:r>
      <w:r>
        <w:rPr>
          <w:rFonts w:hint="eastAsia" w:ascii="宋体" w:hAnsi="宋体" w:eastAsia="宋体" w:cs="宋体"/>
          <w:color w:val="auto"/>
          <w:sz w:val="24"/>
          <w:szCs w:val="24"/>
          <w:highlight w:val="none"/>
          <w:lang w:eastAsia="zh-CN"/>
        </w:rPr>
        <w:t>，及做功能</w:t>
      </w:r>
      <w:r>
        <w:rPr>
          <w:rFonts w:hint="eastAsia" w:ascii="宋体" w:hAnsi="宋体" w:eastAsia="宋体" w:cs="宋体"/>
          <w:color w:val="auto"/>
          <w:sz w:val="24"/>
          <w:szCs w:val="24"/>
          <w:highlight w:val="none"/>
        </w:rPr>
        <w:t>预测与注释</w:t>
      </w:r>
    </w:p>
    <w:p>
      <w:pPr>
        <w:keepNext w:val="0"/>
        <w:keepLines w:val="0"/>
        <w:pageBreakBefore w:val="0"/>
        <w:widowControl/>
        <w:numPr>
          <w:ilvl w:val="1"/>
          <w:numId w:val="7"/>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做信号通路分析</w:t>
      </w:r>
    </w:p>
    <w:p>
      <w:pPr>
        <w:keepNext w:val="0"/>
        <w:keepLines w:val="0"/>
        <w:pageBreakBefore w:val="0"/>
        <w:widowControl/>
        <w:numPr>
          <w:ilvl w:val="1"/>
          <w:numId w:val="7"/>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分析非编码小核酸（</w:t>
      </w:r>
      <w:r>
        <w:rPr>
          <w:rFonts w:hint="eastAsia" w:ascii="宋体" w:hAnsi="宋体" w:eastAsia="宋体" w:cs="宋体"/>
          <w:color w:val="auto"/>
          <w:sz w:val="24"/>
          <w:szCs w:val="24"/>
          <w:highlight w:val="none"/>
        </w:rPr>
        <w:t>lncRNA</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sRNA、miRNA、circRNA、和ceRNA）的差异表达</w:t>
      </w:r>
    </w:p>
    <w:p>
      <w:pPr>
        <w:keepNext w:val="0"/>
        <w:keepLines w:val="0"/>
        <w:pageBreakBefore w:val="0"/>
        <w:widowControl/>
        <w:numPr>
          <w:ilvl w:val="1"/>
          <w:numId w:val="7"/>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分析正常人、患者及国家标准样本的非编码基因差异表达</w:t>
      </w:r>
    </w:p>
    <w:p>
      <w:pPr>
        <w:keepNext w:val="0"/>
        <w:keepLines w:val="0"/>
        <w:pageBreakBefore w:val="0"/>
        <w:widowControl/>
        <w:numPr>
          <w:ilvl w:val="1"/>
          <w:numId w:val="7"/>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总体分析差异表达的</w:t>
      </w:r>
      <w:r>
        <w:rPr>
          <w:rFonts w:hint="eastAsia" w:ascii="宋体" w:hAnsi="宋体" w:eastAsia="宋体" w:cs="宋体"/>
          <w:b w:val="0"/>
          <w:bCs w:val="0"/>
          <w:color w:val="auto"/>
          <w:kern w:val="0"/>
          <w:sz w:val="24"/>
          <w:szCs w:val="24"/>
          <w:highlight w:val="none"/>
          <w:lang w:val="en-US" w:eastAsia="zh-CN" w:bidi="ar"/>
        </w:rPr>
        <w:t>非编码小核酸和mRNA</w:t>
      </w:r>
      <w:r>
        <w:rPr>
          <w:rFonts w:hint="eastAsia" w:ascii="宋体" w:hAnsi="宋体" w:eastAsia="宋体" w:cs="宋体"/>
          <w:color w:val="auto"/>
          <w:sz w:val="24"/>
          <w:szCs w:val="24"/>
          <w:highlight w:val="none"/>
          <w:lang w:eastAsia="zh-CN"/>
        </w:rPr>
        <w:t>的相关性</w:t>
      </w:r>
    </w:p>
    <w:p>
      <w:pPr>
        <w:keepNext w:val="0"/>
        <w:keepLines w:val="0"/>
        <w:pageBreakBefore w:val="0"/>
        <w:widowControl/>
        <w:numPr>
          <w:ilvl w:val="1"/>
          <w:numId w:val="7"/>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分析差异表达基因与ASD的相关性</w:t>
      </w:r>
    </w:p>
    <w:p>
      <w:pPr>
        <w:keepNext w:val="0"/>
        <w:keepLines w:val="0"/>
        <w:pageBreakBefore w:val="0"/>
        <w:widowControl/>
        <w:numPr>
          <w:ilvl w:val="0"/>
          <w:numId w:val="8"/>
        </w:numPr>
        <w:kinsoku/>
        <w:wordWrap/>
        <w:overflowPunct/>
        <w:topLinePunct w:val="0"/>
        <w:autoSpaceDE/>
        <w:autoSpaceDN/>
        <w:bidi w:val="0"/>
        <w:adjustRightInd/>
        <w:snapToGrid/>
        <w:spacing w:after="0" w:line="288" w:lineRule="auto"/>
        <w:ind w:left="0" w:leftChars="0"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服务要求</w:t>
      </w:r>
    </w:p>
    <w:p>
      <w:pPr>
        <w:keepNext w:val="0"/>
        <w:keepLines w:val="0"/>
        <w:pageBreakBefore w:val="0"/>
        <w:widowControl/>
        <w:numPr>
          <w:ilvl w:val="1"/>
          <w:numId w:val="8"/>
        </w:numPr>
        <w:kinsoku/>
        <w:wordWrap/>
        <w:overflowPunct/>
        <w:topLinePunct w:val="0"/>
        <w:autoSpaceDE/>
        <w:autoSpaceDN/>
        <w:bidi w:val="0"/>
        <w:adjustRightInd/>
        <w:snapToGrid/>
        <w:spacing w:after="0" w:line="288" w:lineRule="auto"/>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双方合同签订之日</w:t>
      </w:r>
      <w:r>
        <w:rPr>
          <w:rFonts w:hint="eastAsia" w:ascii="宋体" w:hAnsi="宋体" w:eastAsia="宋体" w:cs="宋体"/>
          <w:color w:val="auto"/>
          <w:sz w:val="24"/>
          <w:szCs w:val="24"/>
          <w:highlight w:val="none"/>
          <w:shd w:val="clear" w:color="auto" w:fill="FFFFFF"/>
          <w:lang w:val="en-US" w:eastAsia="zh-CN" w:bidi="ar"/>
        </w:rPr>
        <w:t>起6</w:t>
      </w:r>
      <w:r>
        <w:rPr>
          <w:rFonts w:hint="eastAsia" w:ascii="宋体" w:hAnsi="宋体" w:eastAsia="宋体" w:cs="宋体"/>
          <w:color w:val="auto"/>
          <w:sz w:val="24"/>
          <w:szCs w:val="24"/>
          <w:highlight w:val="none"/>
          <w:shd w:val="clear" w:color="auto" w:fill="FFFFFF"/>
          <w:lang w:bidi="ar"/>
        </w:rPr>
        <w:t>0天内完成测序</w:t>
      </w:r>
      <w:r>
        <w:rPr>
          <w:rFonts w:hint="eastAsia" w:ascii="宋体" w:hAnsi="宋体" w:eastAsia="宋体" w:cs="宋体"/>
          <w:color w:val="auto"/>
          <w:sz w:val="24"/>
          <w:szCs w:val="24"/>
          <w:highlight w:val="none"/>
          <w:shd w:val="clear" w:color="auto" w:fill="FFFFFF"/>
          <w:lang w:val="en-US" w:eastAsia="zh-CN" w:bidi="ar"/>
        </w:rPr>
        <w:t>和生信分析</w:t>
      </w:r>
      <w:r>
        <w:rPr>
          <w:rFonts w:hint="eastAsia" w:ascii="宋体" w:hAnsi="宋体" w:eastAsia="宋体" w:cs="宋体"/>
          <w:color w:val="auto"/>
          <w:sz w:val="24"/>
          <w:szCs w:val="24"/>
          <w:highlight w:val="none"/>
          <w:shd w:val="clear" w:color="auto" w:fill="FFFFFF"/>
          <w:lang w:bidi="ar"/>
        </w:rPr>
        <w:t>服务</w:t>
      </w:r>
      <w:r>
        <w:rPr>
          <w:rFonts w:hint="eastAsia" w:ascii="宋体" w:hAnsi="宋体" w:eastAsia="宋体" w:cs="宋体"/>
          <w:color w:val="auto"/>
          <w:sz w:val="24"/>
          <w:szCs w:val="24"/>
          <w:highlight w:val="none"/>
          <w:shd w:val="clear" w:color="auto" w:fill="FFFFFF"/>
          <w:lang w:eastAsia="zh-CN" w:bidi="ar"/>
        </w:rPr>
        <w:t>，</w:t>
      </w:r>
      <w:r>
        <w:rPr>
          <w:rFonts w:hint="eastAsia" w:ascii="宋体" w:hAnsi="宋体" w:eastAsia="宋体" w:cs="宋体"/>
          <w:color w:val="auto"/>
          <w:sz w:val="24"/>
          <w:szCs w:val="24"/>
          <w:highlight w:val="none"/>
        </w:rPr>
        <w:t>交付测序数据及</w:t>
      </w:r>
      <w:r>
        <w:rPr>
          <w:rFonts w:hint="eastAsia" w:ascii="宋体" w:hAnsi="宋体" w:eastAsia="宋体" w:cs="宋体"/>
          <w:b w:val="0"/>
          <w:bCs/>
          <w:color w:val="auto"/>
          <w:sz w:val="24"/>
          <w:szCs w:val="24"/>
          <w:highlight w:val="none"/>
          <w:shd w:val="clear" w:color="auto" w:fill="FFFFFF"/>
          <w:lang w:val="en-US" w:eastAsia="zh-CN" w:bidi="ar"/>
        </w:rPr>
        <w:t>个性化需求</w:t>
      </w:r>
      <w:r>
        <w:rPr>
          <w:rFonts w:hint="eastAsia" w:ascii="宋体" w:hAnsi="宋体" w:eastAsia="宋体" w:cs="宋体"/>
          <w:b w:val="0"/>
          <w:bCs/>
          <w:color w:val="auto"/>
          <w:sz w:val="24"/>
          <w:szCs w:val="24"/>
          <w:highlight w:val="none"/>
          <w:shd w:val="clear" w:color="auto" w:fill="FFFFFF"/>
          <w:lang w:bidi="ar"/>
        </w:rPr>
        <w:t>服务</w:t>
      </w:r>
    </w:p>
    <w:p>
      <w:pPr>
        <w:keepNext w:val="0"/>
        <w:keepLines w:val="0"/>
        <w:pageBreakBefore w:val="0"/>
        <w:widowControl/>
        <w:numPr>
          <w:ilvl w:val="1"/>
          <w:numId w:val="8"/>
        </w:numPr>
        <w:kinsoku/>
        <w:wordWrap/>
        <w:overflowPunct/>
        <w:topLinePunct w:val="0"/>
        <w:autoSpaceDE/>
        <w:autoSpaceDN/>
        <w:bidi w:val="0"/>
        <w:adjustRightInd/>
        <w:snapToGrid/>
        <w:spacing w:after="0" w:line="288" w:lineRule="auto"/>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供应商承诺于</w:t>
      </w:r>
      <w:r>
        <w:rPr>
          <w:rFonts w:hint="eastAsia" w:ascii="宋体" w:hAnsi="宋体" w:eastAsia="宋体" w:cs="宋体"/>
          <w:color w:val="auto"/>
          <w:sz w:val="24"/>
          <w:szCs w:val="24"/>
          <w:highlight w:val="none"/>
        </w:rPr>
        <w:t>双方合同签订之日起2年内</w:t>
      </w:r>
      <w:r>
        <w:rPr>
          <w:rFonts w:hint="eastAsia" w:ascii="宋体" w:hAnsi="宋体" w:eastAsia="宋体" w:cs="宋体"/>
          <w:color w:val="auto"/>
          <w:sz w:val="24"/>
          <w:szCs w:val="24"/>
          <w:highlight w:val="none"/>
          <w:lang w:val="en-US" w:eastAsia="zh-CN"/>
        </w:rPr>
        <w:t>提供</w:t>
      </w:r>
      <w:r>
        <w:rPr>
          <w:rFonts w:hint="eastAsia" w:ascii="宋体" w:hAnsi="宋体" w:eastAsia="宋体" w:cs="宋体"/>
          <w:color w:val="auto"/>
          <w:sz w:val="24"/>
          <w:szCs w:val="24"/>
          <w:highlight w:val="none"/>
        </w:rPr>
        <w:t>售后服务及个性化分析</w:t>
      </w:r>
    </w:p>
    <w:p>
      <w:pPr>
        <w:keepNext w:val="0"/>
        <w:keepLines w:val="0"/>
        <w:pageBreakBefore w:val="0"/>
        <w:widowControl/>
        <w:numPr>
          <w:ilvl w:val="1"/>
          <w:numId w:val="8"/>
        </w:numPr>
        <w:kinsoku/>
        <w:wordWrap/>
        <w:overflowPunct/>
        <w:topLinePunct w:val="0"/>
        <w:autoSpaceDE/>
        <w:autoSpaceDN/>
        <w:bidi w:val="0"/>
        <w:adjustRightInd/>
        <w:snapToGrid/>
        <w:spacing w:after="0" w:line="288" w:lineRule="auto"/>
        <w:ind w:left="0" w:leftChars="0" w:firstLine="0" w:firstLineChars="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对采购人提出的问题和个性化需求及时响应</w:t>
      </w:r>
    </w:p>
    <w:p>
      <w:pPr>
        <w:keepNext w:val="0"/>
        <w:keepLines w:val="0"/>
        <w:pageBreakBefore w:val="0"/>
        <w:widowControl/>
        <w:numPr>
          <w:ilvl w:val="1"/>
          <w:numId w:val="8"/>
        </w:numPr>
        <w:kinsoku/>
        <w:wordWrap/>
        <w:overflowPunct/>
        <w:topLinePunct w:val="0"/>
        <w:autoSpaceDE/>
        <w:autoSpaceDN/>
        <w:bidi w:val="0"/>
        <w:adjustRightInd/>
        <w:snapToGrid/>
        <w:spacing w:after="0" w:line="288" w:lineRule="auto"/>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真实、准确提供</w:t>
      </w:r>
      <w:r>
        <w:rPr>
          <w:rFonts w:hint="eastAsia" w:ascii="宋体" w:hAnsi="宋体" w:eastAsia="宋体" w:cs="宋体"/>
          <w:color w:val="auto"/>
          <w:sz w:val="24"/>
          <w:szCs w:val="24"/>
          <w:highlight w:val="none"/>
        </w:rPr>
        <w:t>测序深度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平均读长</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测序的质控</w:t>
      </w:r>
      <w:r>
        <w:rPr>
          <w:rFonts w:hint="eastAsia" w:ascii="宋体" w:hAnsi="宋体" w:eastAsia="宋体" w:cs="宋体"/>
          <w:color w:val="auto"/>
          <w:sz w:val="24"/>
          <w:szCs w:val="24"/>
          <w:highlight w:val="none"/>
          <w:lang w:val="en-US" w:eastAsia="zh-CN"/>
        </w:rPr>
        <w:t>方案，以及实验图片、数据等相关实验资料，并提供实验真实性的承诺书；确保采购人不因实验数据、图片的真实性、准确性而引起退稿，及其他连带损失</w:t>
      </w:r>
    </w:p>
    <w:p>
      <w:pPr>
        <w:keepNext w:val="0"/>
        <w:keepLines w:val="0"/>
        <w:pageBreakBefore w:val="0"/>
        <w:widowControl/>
        <w:numPr>
          <w:ilvl w:val="1"/>
          <w:numId w:val="8"/>
        </w:numPr>
        <w:kinsoku/>
        <w:wordWrap/>
        <w:overflowPunct/>
        <w:topLinePunct w:val="0"/>
        <w:autoSpaceDE/>
        <w:autoSpaceDN/>
        <w:bidi w:val="0"/>
        <w:adjustRightInd/>
        <w:snapToGrid/>
        <w:spacing w:after="0" w:line="288" w:lineRule="auto"/>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应保证采购人在使用该货物或其任何一部分时不受第三方提出侵犯其专利权、商标权和设计权的起诉。如果任何第三方提出侵权指控或赔偿要求，成交供应商必须与第三方交涉，并承担发生和可能发生的一切损失、费用和法律责任</w:t>
      </w:r>
    </w:p>
    <w:p>
      <w:pPr>
        <w:keepNext w:val="0"/>
        <w:keepLines w:val="0"/>
        <w:pageBreakBefore w:val="0"/>
        <w:widowControl/>
        <w:numPr>
          <w:ilvl w:val="1"/>
          <w:numId w:val="8"/>
        </w:numPr>
        <w:kinsoku/>
        <w:wordWrap/>
        <w:overflowPunct/>
        <w:topLinePunct w:val="0"/>
        <w:autoSpaceDE/>
        <w:autoSpaceDN/>
        <w:bidi w:val="0"/>
        <w:adjustRightInd/>
        <w:snapToGrid/>
        <w:spacing w:after="0" w:line="288" w:lineRule="auto"/>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投标商须提供相关售后服务承诺并加盖单位公章。</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br w:type="page"/>
      </w:r>
    </w:p>
    <w:p>
      <w:pPr>
        <w:pStyle w:val="3"/>
        <w:spacing w:before="0" w:after="156" w:afterLines="50" w:line="580" w:lineRule="exact"/>
        <w:ind w:firstLine="3654" w:firstLineChars="1300"/>
        <w:jc w:val="both"/>
        <w:rPr>
          <w:rFonts w:ascii="宋体" w:hAnsi="宋体" w:eastAsia="宋体" w:cs="宋体"/>
        </w:rPr>
      </w:pPr>
      <w:r>
        <w:rPr>
          <w:rFonts w:hint="eastAsia" w:ascii="宋体" w:hAnsi="宋体" w:eastAsia="宋体" w:cs="宋体"/>
          <w:sz w:val="28"/>
          <w:szCs w:val="28"/>
        </w:rPr>
        <w:t>四、评分标准</w:t>
      </w:r>
      <w:bookmarkEnd w:id="76"/>
      <w:bookmarkEnd w:id="77"/>
      <w:bookmarkEnd w:id="78"/>
    </w:p>
    <w:p>
      <w:pPr>
        <w:spacing w:line="480" w:lineRule="exact"/>
        <w:jc w:val="left"/>
        <w:rPr>
          <w:rFonts w:ascii="宋体" w:hAnsi="宋体" w:cs="宋体"/>
          <w:sz w:val="24"/>
          <w:szCs w:val="24"/>
        </w:rPr>
      </w:pPr>
      <w:r>
        <w:rPr>
          <w:rFonts w:hint="eastAsia" w:ascii="宋体" w:hAnsi="宋体" w:cs="宋体"/>
          <w:sz w:val="24"/>
          <w:szCs w:val="24"/>
        </w:rPr>
        <w:t>1、本次磋商采用百分制评分法，商务（报价）权重</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10 </w:t>
      </w:r>
      <w:r>
        <w:rPr>
          <w:rFonts w:hint="eastAsia" w:ascii="宋体" w:hAnsi="宋体" w:cs="宋体"/>
          <w:sz w:val="24"/>
          <w:szCs w:val="24"/>
        </w:rPr>
        <w:t>%，经评审满足磋商文件要求且最后报价最低的供应商的价格为磋商基准价，其价格为满分，得</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分。其他供应商的价格分统一按照下列公式计算：</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磋商报价得分=（磋商基准价/最后磋商报价）×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%×100。</w:t>
      </w:r>
    </w:p>
    <w:p>
      <w:pPr>
        <w:spacing w:line="480" w:lineRule="exact"/>
        <w:jc w:val="left"/>
        <w:rPr>
          <w:rFonts w:ascii="宋体" w:hAnsi="宋体" w:cs="宋体"/>
          <w:sz w:val="24"/>
          <w:szCs w:val="24"/>
        </w:rPr>
      </w:pPr>
      <w:r>
        <w:rPr>
          <w:rFonts w:hint="eastAsia" w:ascii="宋体" w:hAnsi="宋体" w:cs="宋体"/>
          <w:sz w:val="24"/>
          <w:szCs w:val="24"/>
        </w:rPr>
        <w:t>注：超过最高限价的最后磋商报价为无效报价，按废标处理。</w:t>
      </w:r>
    </w:p>
    <w:p>
      <w:pPr>
        <w:pStyle w:val="13"/>
        <w:spacing w:line="480" w:lineRule="exact"/>
        <w:ind w:firstLine="0"/>
        <w:rPr>
          <w:rFonts w:ascii="宋体" w:hAnsi="宋体" w:eastAsia="宋体" w:cs="宋体"/>
          <w:sz w:val="24"/>
          <w:szCs w:val="24"/>
        </w:rPr>
      </w:pPr>
      <w:r>
        <w:rPr>
          <w:rFonts w:hint="eastAsia" w:ascii="宋体" w:hAnsi="宋体" w:eastAsia="宋体" w:cs="宋体"/>
          <w:sz w:val="24"/>
          <w:szCs w:val="24"/>
        </w:rPr>
        <w:t>具体评分细则如下：</w:t>
      </w:r>
    </w:p>
    <w:tbl>
      <w:tblPr>
        <w:tblStyle w:val="35"/>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1" w:type="dxa"/>
          <w:bottom w:w="28" w:type="dxa"/>
          <w:right w:w="51" w:type="dxa"/>
        </w:tblCellMar>
      </w:tblPr>
      <w:tblGrid>
        <w:gridCol w:w="1183"/>
        <w:gridCol w:w="1237"/>
        <w:gridCol w:w="6206"/>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789"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类别</w:t>
            </w:r>
          </w:p>
        </w:tc>
        <w:tc>
          <w:tcPr>
            <w:tcW w:w="12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评分内容</w:t>
            </w:r>
          </w:p>
        </w:tc>
        <w:tc>
          <w:tcPr>
            <w:tcW w:w="62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评分标准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技术标分</w:t>
            </w:r>
          </w:p>
          <w:p>
            <w:pPr>
              <w:spacing w:line="400" w:lineRule="exact"/>
              <w:jc w:val="center"/>
              <w:rPr>
                <w:rFonts w:ascii="宋体" w:hAnsi="宋体" w:cs="宋体"/>
                <w:sz w:val="24"/>
                <w:szCs w:val="24"/>
              </w:rPr>
            </w:pP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90</w:t>
            </w:r>
            <w:r>
              <w:rPr>
                <w:rFonts w:hint="eastAsia" w:ascii="宋体" w:hAnsi="宋体" w:cs="宋体"/>
                <w:sz w:val="24"/>
                <w:szCs w:val="24"/>
                <w:u w:val="single"/>
              </w:rPr>
              <w:t xml:space="preserve"> </w:t>
            </w:r>
            <w:r>
              <w:rPr>
                <w:rFonts w:hint="eastAsia" w:ascii="宋体" w:hAnsi="宋体" w:cs="宋体"/>
                <w:sz w:val="24"/>
                <w:szCs w:val="24"/>
              </w:rPr>
              <w:t>分）</w:t>
            </w:r>
          </w:p>
        </w:tc>
        <w:tc>
          <w:tcPr>
            <w:tcW w:w="1237" w:type="dxa"/>
            <w:tcBorders>
              <w:top w:val="single" w:color="auto" w:sz="4" w:space="0"/>
              <w:left w:val="single" w:color="auto" w:sz="4" w:space="0"/>
              <w:right w:val="single" w:color="auto" w:sz="4" w:space="0"/>
            </w:tcBorders>
            <w:vAlign w:val="center"/>
          </w:tcPr>
          <w:p>
            <w:pPr>
              <w:widowControl/>
              <w:spacing w:line="400" w:lineRule="exact"/>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测序平台（10分）</w:t>
            </w:r>
          </w:p>
        </w:tc>
        <w:tc>
          <w:tcPr>
            <w:tcW w:w="620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color w:val="auto"/>
                <w:sz w:val="24"/>
                <w:szCs w:val="24"/>
                <w:highlight w:val="none"/>
              </w:rPr>
              <w:t>供应商具备测序平台的得10分。以购买合同原件扫描件或测序仪厂商颁发仪器投放证书扫描件为准</w:t>
            </w:r>
            <w:r>
              <w:rPr>
                <w:rFonts w:hint="eastAsia" w:ascii="宋体" w:hAnsi="宋体" w:eastAsia="宋体" w:cs="宋体"/>
                <w:b w:val="0"/>
                <w:bCs w:val="0"/>
                <w:color w:val="auto"/>
                <w:sz w:val="24"/>
                <w:szCs w:val="24"/>
                <w:highlight w:val="none"/>
                <w:lang w:eastAsia="zh-CN"/>
              </w:rPr>
              <w:t>。</w:t>
            </w:r>
          </w:p>
          <w:p>
            <w:pPr>
              <w:pStyle w:val="33"/>
              <w:ind w:left="0" w:leftChars="0" w:firstLine="0" w:firstLineChars="0"/>
              <w:rPr>
                <w:rFonts w:hint="default" w:ascii="宋体" w:hAnsi="宋体" w:cs="宋体"/>
                <w:bCs/>
                <w:color w:val="auto"/>
                <w:sz w:val="24"/>
                <w:szCs w:val="24"/>
                <w:lang w:val="en-US" w:eastAsia="zh-CN"/>
              </w:rPr>
            </w:pPr>
            <w:r>
              <w:rPr>
                <w:rFonts w:hint="eastAsia" w:ascii="宋体" w:hAnsi="宋体" w:eastAsia="宋体" w:cs="宋体"/>
                <w:b w:val="0"/>
                <w:bCs w:val="0"/>
                <w:color w:val="auto"/>
                <w:sz w:val="24"/>
                <w:szCs w:val="24"/>
                <w:highlight w:val="none"/>
                <w:lang w:eastAsia="zh-CN"/>
              </w:rPr>
              <w:t>不提供不得分。</w:t>
            </w:r>
          </w:p>
        </w:tc>
        <w:tc>
          <w:tcPr>
            <w:tcW w:w="653"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5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right w:val="single" w:color="auto" w:sz="4" w:space="0"/>
            </w:tcBorders>
            <w:vAlign w:val="center"/>
          </w:tcPr>
          <w:p>
            <w:pPr>
              <w:pStyle w:val="11"/>
              <w:rPr>
                <w:rFonts w:hint="default"/>
                <w:lang w:val="en-US" w:eastAsia="zh-CN"/>
              </w:rPr>
            </w:pPr>
            <w:r>
              <w:rPr>
                <w:rFonts w:hint="eastAsia" w:ascii="宋体" w:hAnsi="宋体" w:cs="宋体"/>
                <w:color w:val="000000"/>
                <w:sz w:val="24"/>
                <w:szCs w:val="24"/>
                <w:lang w:val="en-US" w:eastAsia="zh-CN"/>
              </w:rPr>
              <w:t>供应商业绩（10分）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r>
              <w:rPr>
                <w:rFonts w:hint="eastAsia" w:ascii="宋体" w:hAnsi="宋体" w:cs="宋体"/>
                <w:color w:val="auto"/>
                <w:sz w:val="24"/>
                <w:szCs w:val="24"/>
                <w:highlight w:val="none"/>
                <w:lang w:val="en-US" w:eastAsia="zh-CN"/>
              </w:rPr>
              <w:t>2019年1月1日以来</w:t>
            </w:r>
            <w:r>
              <w:rPr>
                <w:rFonts w:hint="eastAsia" w:ascii="宋体" w:hAnsi="宋体" w:eastAsia="宋体" w:cs="宋体"/>
                <w:color w:val="auto"/>
                <w:sz w:val="24"/>
                <w:szCs w:val="24"/>
                <w:highlight w:val="none"/>
              </w:rPr>
              <w:t>类似项目业绩证明材料，提供合同复印件并加盖供应商公章。</w:t>
            </w:r>
          </w:p>
          <w:p>
            <w:pPr>
              <w:numPr>
                <w:ilvl w:val="0"/>
                <w:numId w:val="0"/>
              </w:numPr>
              <w:spacing w:line="400" w:lineRule="exact"/>
              <w:ind w:leftChars="0"/>
              <w:jc w:val="left"/>
              <w:rPr>
                <w:rFonts w:hint="default"/>
                <w:lang w:val="en-US" w:eastAsia="zh-CN"/>
              </w:rPr>
            </w:pPr>
            <w:r>
              <w:rPr>
                <w:rFonts w:hint="eastAsia" w:ascii="宋体" w:hAnsi="宋体" w:eastAsia="宋体" w:cs="宋体"/>
                <w:color w:val="auto"/>
                <w:sz w:val="24"/>
                <w:szCs w:val="24"/>
                <w:highlight w:val="none"/>
              </w:rPr>
              <w:t>每提供一个得2.</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分，满分10分</w:t>
            </w:r>
            <w:r>
              <w:rPr>
                <w:rFonts w:hint="eastAsia" w:ascii="宋体" w:hAnsi="宋体" w:eastAsia="宋体" w:cs="宋体"/>
                <w:color w:val="auto"/>
                <w:sz w:val="24"/>
                <w:szCs w:val="24"/>
                <w:highlight w:val="none"/>
                <w:lang w:eastAsia="zh-CN"/>
              </w:rPr>
              <w:t>。不能提供不得分。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316"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right w:val="single" w:color="auto" w:sz="4"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供应商实力（20</w:t>
            </w:r>
            <w:r>
              <w:rPr>
                <w:rFonts w:hint="eastAsia" w:ascii="宋体" w:hAnsi="宋体" w:eastAsia="宋体" w:cs="宋体"/>
                <w:color w:val="000000"/>
                <w:sz w:val="24"/>
                <w:szCs w:val="24"/>
                <w:lang w:val="en-US" w:eastAsia="zh-CN"/>
              </w:rPr>
              <w:t>分）</w:t>
            </w:r>
          </w:p>
        </w:tc>
        <w:tc>
          <w:tcPr>
            <w:tcW w:w="620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cs="宋体"/>
                <w:color w:val="auto"/>
                <w:sz w:val="24"/>
                <w:szCs w:val="24"/>
                <w:lang w:val="zh-CN" w:eastAsia="zh-CN"/>
              </w:rPr>
            </w:pP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2018年以来</w:t>
            </w:r>
            <w:r>
              <w:rPr>
                <w:rFonts w:hint="eastAsia" w:ascii="宋体" w:hAnsi="宋体" w:eastAsia="宋体" w:cs="宋体"/>
                <w:color w:val="auto"/>
                <w:sz w:val="24"/>
                <w:szCs w:val="24"/>
                <w:highlight w:val="none"/>
              </w:rPr>
              <w:t>曾有</w:t>
            </w:r>
            <w:r>
              <w:rPr>
                <w:rFonts w:hint="eastAsia" w:ascii="宋体" w:hAnsi="宋体" w:eastAsia="宋体" w:cs="宋体"/>
                <w:color w:val="auto"/>
                <w:sz w:val="24"/>
                <w:szCs w:val="24"/>
                <w:highlight w:val="none"/>
                <w:lang w:eastAsia="zh-CN"/>
              </w:rPr>
              <w:t>国际生物医学杂志</w:t>
            </w:r>
            <w:r>
              <w:rPr>
                <w:rFonts w:hint="eastAsia" w:ascii="宋体" w:hAnsi="宋体" w:eastAsia="宋体" w:cs="宋体"/>
                <w:color w:val="auto"/>
                <w:sz w:val="24"/>
                <w:szCs w:val="24"/>
                <w:highlight w:val="none"/>
              </w:rPr>
              <w:t>、或其他同水平相关专业官方期刊文章发表记录（需提供文章首页及供应商单位信息页）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以上传的文章发表证明文件为准，文章中需有供应商单位信息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供应商参与人员署名，每提供一篇得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分；最高得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0分</w:t>
            </w:r>
            <w:r>
              <w:rPr>
                <w:rFonts w:hint="eastAsia" w:ascii="宋体" w:hAnsi="宋体" w:eastAsia="宋体" w:cs="宋体"/>
                <w:color w:val="auto"/>
                <w:sz w:val="24"/>
                <w:szCs w:val="24"/>
                <w:highlight w:val="none"/>
                <w:lang w:eastAsia="zh-CN"/>
              </w:rPr>
              <w:t>，不提供不得分。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000000"/>
                <w:sz w:val="24"/>
                <w:szCs w:val="24"/>
                <w:lang w:val="en-US" w:eastAsia="zh-CN"/>
              </w:rPr>
            </w:pPr>
            <w:r>
              <w:rPr>
                <w:rFonts w:hint="eastAsia" w:ascii="宋体" w:hAnsi="宋体" w:eastAsia="宋体" w:cs="宋体"/>
                <w:b/>
                <w:color w:val="000000"/>
                <w:sz w:val="24"/>
                <w:szCs w:val="24"/>
                <w:lang w:val="en-US" w:eastAsia="zh-CN"/>
              </w:rPr>
              <w:t>0-</w:t>
            </w:r>
            <w:r>
              <w:rPr>
                <w:rFonts w:hint="eastAsia" w:ascii="宋体" w:hAnsi="宋体" w:cs="宋体"/>
                <w:b/>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90"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right w:val="single" w:color="auto" w:sz="4"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供应商团队</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15</w:t>
            </w:r>
            <w:r>
              <w:rPr>
                <w:rFonts w:hint="eastAsia" w:ascii="宋体" w:hAnsi="宋体" w:cs="宋体"/>
                <w:color w:val="000000"/>
                <w:sz w:val="24"/>
                <w:szCs w:val="24"/>
              </w:rPr>
              <w:t>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投标人</w:t>
            </w:r>
            <w:r>
              <w:rPr>
                <w:rFonts w:hint="eastAsia" w:ascii="宋体" w:hAnsi="宋体" w:eastAsia="宋体" w:cs="宋体"/>
                <w:b w:val="0"/>
                <w:bCs w:val="0"/>
                <w:color w:val="auto"/>
                <w:sz w:val="24"/>
                <w:szCs w:val="24"/>
                <w:highlight w:val="none"/>
                <w:lang w:val="en-US" w:eastAsia="zh-CN"/>
              </w:rPr>
              <w:t>科研团队要求：①</w:t>
            </w:r>
            <w:r>
              <w:rPr>
                <w:rFonts w:hint="eastAsia" w:ascii="宋体" w:hAnsi="宋体" w:eastAsia="宋体" w:cs="宋体"/>
                <w:b w:val="0"/>
                <w:bCs w:val="0"/>
                <w:color w:val="auto"/>
                <w:sz w:val="24"/>
                <w:szCs w:val="24"/>
                <w:highlight w:val="none"/>
                <w:lang w:eastAsia="zh-CN"/>
              </w:rPr>
              <w:t>须</w:t>
            </w:r>
            <w:r>
              <w:rPr>
                <w:rFonts w:hint="eastAsia" w:ascii="宋体" w:hAnsi="宋体" w:eastAsia="宋体" w:cs="宋体"/>
                <w:b w:val="0"/>
                <w:bCs w:val="0"/>
                <w:color w:val="auto"/>
                <w:sz w:val="24"/>
                <w:szCs w:val="24"/>
                <w:highlight w:val="none"/>
              </w:rPr>
              <w:t>针对本项目</w:t>
            </w:r>
            <w:r>
              <w:rPr>
                <w:rFonts w:hint="eastAsia" w:ascii="宋体" w:hAnsi="宋体" w:eastAsia="宋体" w:cs="宋体"/>
                <w:b w:val="0"/>
                <w:bCs w:val="0"/>
                <w:color w:val="auto"/>
                <w:sz w:val="24"/>
                <w:szCs w:val="24"/>
                <w:highlight w:val="none"/>
                <w:lang w:eastAsia="zh-CN"/>
              </w:rPr>
              <w:t>组建专门</w:t>
            </w:r>
            <w:r>
              <w:rPr>
                <w:rFonts w:hint="eastAsia" w:ascii="宋体" w:hAnsi="宋体" w:eastAsia="宋体" w:cs="宋体"/>
                <w:b w:val="0"/>
                <w:bCs w:val="0"/>
                <w:color w:val="auto"/>
                <w:sz w:val="24"/>
                <w:szCs w:val="24"/>
                <w:highlight w:val="none"/>
              </w:rPr>
              <w:t>服务团队</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技术人员队伍配备结构合理（</w:t>
            </w:r>
            <w:r>
              <w:rPr>
                <w:rFonts w:hint="eastAsia" w:ascii="宋体" w:hAnsi="宋体" w:eastAsia="宋体" w:cs="宋体"/>
                <w:b w:val="0"/>
                <w:bCs w:val="0"/>
                <w:color w:val="auto"/>
                <w:sz w:val="24"/>
                <w:szCs w:val="24"/>
                <w:highlight w:val="none"/>
                <w:lang w:eastAsia="zh-CN"/>
              </w:rPr>
              <w:t>参加本项目研究的科技</w:t>
            </w:r>
            <w:r>
              <w:rPr>
                <w:rFonts w:hint="eastAsia" w:ascii="宋体" w:hAnsi="宋体" w:eastAsia="宋体" w:cs="宋体"/>
                <w:b w:val="0"/>
                <w:bCs w:val="0"/>
                <w:color w:val="auto"/>
                <w:sz w:val="24"/>
                <w:szCs w:val="24"/>
                <w:highlight w:val="none"/>
              </w:rPr>
              <w:t>人数不低于</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名）</w:t>
            </w:r>
            <w:r>
              <w:rPr>
                <w:rFonts w:hint="eastAsia" w:ascii="宋体" w:hAnsi="宋体" w:eastAsia="宋体" w:cs="宋体"/>
                <w:b w:val="0"/>
                <w:bCs w:val="0"/>
                <w:color w:val="auto"/>
                <w:sz w:val="24"/>
                <w:szCs w:val="24"/>
                <w:highlight w:val="none"/>
                <w:lang w:eastAsia="zh-CN"/>
              </w:rPr>
              <w:t>；②团队</w:t>
            </w:r>
            <w:r>
              <w:rPr>
                <w:rFonts w:hint="eastAsia" w:ascii="宋体" w:hAnsi="宋体" w:eastAsia="宋体" w:cs="宋体"/>
                <w:b w:val="0"/>
                <w:bCs w:val="0"/>
                <w:color w:val="auto"/>
                <w:sz w:val="24"/>
                <w:szCs w:val="24"/>
                <w:highlight w:val="none"/>
              </w:rPr>
              <w:t>测序</w:t>
            </w:r>
            <w:r>
              <w:rPr>
                <w:rFonts w:hint="eastAsia" w:ascii="宋体" w:hAnsi="宋体" w:eastAsia="宋体" w:cs="宋体"/>
                <w:b w:val="0"/>
                <w:bCs w:val="0"/>
                <w:color w:val="auto"/>
                <w:sz w:val="24"/>
                <w:szCs w:val="24"/>
                <w:highlight w:val="none"/>
                <w:lang w:eastAsia="zh-CN"/>
              </w:rPr>
              <w:t>、生信</w:t>
            </w:r>
            <w:r>
              <w:rPr>
                <w:rFonts w:hint="eastAsia" w:ascii="宋体" w:hAnsi="宋体" w:eastAsia="宋体" w:cs="宋体"/>
                <w:b w:val="0"/>
                <w:bCs w:val="0"/>
                <w:color w:val="auto"/>
                <w:sz w:val="24"/>
                <w:szCs w:val="24"/>
                <w:highlight w:val="none"/>
              </w:rPr>
              <w:t>分析项目经验丰富</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项目负责人</w:t>
            </w:r>
            <w:r>
              <w:rPr>
                <w:rFonts w:hint="eastAsia" w:ascii="宋体" w:hAnsi="宋体" w:eastAsia="宋体" w:cs="宋体"/>
                <w:b w:val="0"/>
                <w:bCs w:val="0"/>
                <w:color w:val="auto"/>
                <w:sz w:val="24"/>
                <w:szCs w:val="24"/>
                <w:highlight w:val="none"/>
                <w:lang w:eastAsia="zh-CN"/>
              </w:rPr>
              <w:t>具有医学博士学位，</w:t>
            </w:r>
            <w:r>
              <w:rPr>
                <w:rFonts w:hint="eastAsia" w:ascii="宋体" w:hAnsi="宋体" w:eastAsia="宋体" w:cs="宋体"/>
                <w:color w:val="auto"/>
                <w:sz w:val="24"/>
                <w:szCs w:val="24"/>
                <w:highlight w:val="none"/>
                <w:lang w:eastAsia="zh-CN"/>
              </w:rPr>
              <w:t>有在大学附属医院任教授</w:t>
            </w:r>
            <w:r>
              <w:rPr>
                <w:rFonts w:hint="eastAsia" w:ascii="宋体" w:hAnsi="宋体" w:eastAsia="宋体" w:cs="宋体"/>
                <w:color w:val="auto"/>
                <w:sz w:val="24"/>
                <w:szCs w:val="24"/>
                <w:highlight w:val="none"/>
                <w:lang w:val="en-US" w:eastAsia="zh-CN"/>
              </w:rPr>
              <w:t>/研究员</w:t>
            </w:r>
            <w:r>
              <w:rPr>
                <w:rFonts w:hint="eastAsia" w:ascii="宋体" w:hAnsi="宋体" w:eastAsia="宋体" w:cs="宋体"/>
                <w:color w:val="auto"/>
                <w:sz w:val="24"/>
                <w:szCs w:val="24"/>
                <w:highlight w:val="none"/>
                <w:lang w:eastAsia="zh-CN"/>
              </w:rPr>
              <w:t>的经历</w:t>
            </w:r>
            <w:r>
              <w:rPr>
                <w:rFonts w:hint="eastAsia" w:ascii="宋体" w:hAnsi="宋体" w:eastAsia="宋体" w:cs="宋体"/>
                <w:b w:val="0"/>
                <w:bCs w:val="0"/>
                <w:color w:val="auto"/>
                <w:sz w:val="24"/>
                <w:szCs w:val="24"/>
                <w:highlight w:val="none"/>
                <w:lang w:eastAsia="zh-CN"/>
              </w:rPr>
              <w:t>，从事科研工作</w:t>
            </w:r>
            <w:r>
              <w:rPr>
                <w:rFonts w:hint="eastAsia" w:ascii="宋体" w:hAnsi="宋体" w:eastAsia="宋体" w:cs="宋体"/>
                <w:b w:val="0"/>
                <w:bCs w:val="0"/>
                <w:color w:val="auto"/>
                <w:sz w:val="24"/>
                <w:szCs w:val="24"/>
                <w:highlight w:val="none"/>
                <w:lang w:val="en-US" w:eastAsia="zh-CN"/>
              </w:rPr>
              <w:t>10年以上；③</w:t>
            </w:r>
            <w:r>
              <w:rPr>
                <w:rFonts w:hint="eastAsia" w:ascii="宋体" w:hAnsi="宋体" w:eastAsia="宋体" w:cs="宋体"/>
                <w:b w:val="0"/>
                <w:bCs w:val="0"/>
                <w:color w:val="auto"/>
                <w:sz w:val="24"/>
                <w:szCs w:val="24"/>
                <w:highlight w:val="none"/>
              </w:rPr>
              <w:t>项目负责人具备发表高水平文章的能力，曾发表的</w:t>
            </w:r>
            <w:r>
              <w:rPr>
                <w:rFonts w:hint="eastAsia" w:ascii="宋体" w:hAnsi="宋体" w:eastAsia="宋体" w:cs="宋体"/>
                <w:b w:val="0"/>
                <w:bCs w:val="0"/>
                <w:color w:val="auto"/>
                <w:sz w:val="24"/>
                <w:szCs w:val="24"/>
                <w:highlight w:val="none"/>
                <w:lang w:eastAsia="zh-CN"/>
              </w:rPr>
              <w:t>有关基因分析的</w:t>
            </w:r>
            <w:r>
              <w:rPr>
                <w:rFonts w:hint="eastAsia" w:ascii="宋体" w:hAnsi="宋体" w:eastAsia="宋体" w:cs="宋体"/>
                <w:b w:val="0"/>
                <w:bCs w:val="0"/>
                <w:color w:val="auto"/>
                <w:sz w:val="24"/>
                <w:szCs w:val="24"/>
                <w:highlight w:val="none"/>
              </w:rPr>
              <w:t>相关文章影响因子（按2022年最新影响因子）达到以下条件：单篇文章影响因子大于</w:t>
            </w: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rPr>
              <w:t>0分至少</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篇</w:t>
            </w:r>
            <w:r>
              <w:rPr>
                <w:rFonts w:hint="eastAsia" w:ascii="宋体" w:hAnsi="宋体" w:eastAsia="宋体" w:cs="宋体"/>
                <w:b w:val="0"/>
                <w:bCs w:val="0"/>
                <w:color w:val="auto"/>
                <w:sz w:val="24"/>
                <w:szCs w:val="24"/>
                <w:highlight w:val="none"/>
                <w:lang w:eastAsia="zh-CN"/>
              </w:rPr>
              <w:t>，或者</w:t>
            </w:r>
            <w:r>
              <w:rPr>
                <w:rFonts w:hint="eastAsia" w:ascii="宋体" w:hAnsi="宋体" w:eastAsia="宋体" w:cs="宋体"/>
                <w:b w:val="0"/>
                <w:bCs w:val="0"/>
                <w:color w:val="auto"/>
                <w:sz w:val="24"/>
                <w:szCs w:val="24"/>
                <w:highlight w:val="none"/>
                <w:lang w:val="en-US" w:eastAsia="zh-CN"/>
              </w:rPr>
              <w:t>5篇</w:t>
            </w:r>
            <w:r>
              <w:rPr>
                <w:rFonts w:hint="eastAsia" w:ascii="宋体" w:hAnsi="宋体" w:eastAsia="宋体" w:cs="宋体"/>
                <w:b w:val="0"/>
                <w:bCs w:val="0"/>
                <w:color w:val="auto"/>
                <w:sz w:val="24"/>
                <w:szCs w:val="24"/>
                <w:highlight w:val="none"/>
              </w:rPr>
              <w:t>文章影响因子</w:t>
            </w:r>
            <w:r>
              <w:rPr>
                <w:rFonts w:hint="eastAsia" w:ascii="宋体" w:hAnsi="宋体" w:eastAsia="宋体" w:cs="宋体"/>
                <w:b w:val="0"/>
                <w:bCs w:val="0"/>
                <w:color w:val="auto"/>
                <w:sz w:val="24"/>
                <w:szCs w:val="24"/>
                <w:highlight w:val="none"/>
                <w:lang w:eastAsia="zh-CN"/>
              </w:rPr>
              <w:t>累计</w:t>
            </w:r>
            <w:r>
              <w:rPr>
                <w:rFonts w:hint="eastAsia" w:ascii="宋体" w:hAnsi="宋体" w:eastAsia="宋体" w:cs="宋体"/>
                <w:b w:val="0"/>
                <w:bCs w:val="0"/>
                <w:color w:val="auto"/>
                <w:sz w:val="24"/>
                <w:szCs w:val="24"/>
                <w:highlight w:val="none"/>
                <w:lang w:val="en-US" w:eastAsia="zh-CN"/>
              </w:rPr>
              <w:t>大于100</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技术人员和团队负责人需提供</w:t>
            </w:r>
            <w:r>
              <w:rPr>
                <w:rFonts w:hint="eastAsia" w:ascii="宋体" w:hAnsi="宋体" w:eastAsia="宋体" w:cs="宋体"/>
                <w:b w:val="0"/>
                <w:bCs w:val="0"/>
                <w:color w:val="auto"/>
                <w:sz w:val="24"/>
                <w:szCs w:val="24"/>
                <w:highlight w:val="none"/>
              </w:rPr>
              <w:t>个人基本信息、身份证复印件、学历证书原件的复印件、劳动合同复印件、科研和学术能力证明文件</w:t>
            </w:r>
            <w:r>
              <w:rPr>
                <w:rFonts w:hint="eastAsia" w:ascii="宋体" w:hAnsi="宋体" w:eastAsia="宋体" w:cs="宋体"/>
                <w:b w:val="0"/>
                <w:bCs w:val="0"/>
                <w:color w:val="auto"/>
                <w:sz w:val="24"/>
                <w:szCs w:val="24"/>
                <w:highlight w:val="none"/>
                <w:lang w:eastAsia="zh-CN"/>
              </w:rPr>
              <w:t>；文章须需提供所发表论文的期刊封面及文章首页复印件、并加盖单位公章，供应商为文章作者署名单位的相关证明文件。</w:t>
            </w:r>
          </w:p>
          <w:p>
            <w:pPr>
              <w:spacing w:line="400" w:lineRule="exact"/>
              <w:jc w:val="left"/>
              <w:rPr>
                <w:rFonts w:hint="eastAsia" w:ascii="宋体" w:hAnsi="宋体" w:cs="宋体"/>
                <w:color w:val="auto"/>
                <w:sz w:val="24"/>
                <w:szCs w:val="24"/>
                <w:lang w:val="zh-CN" w:eastAsia="zh-CN"/>
              </w:rPr>
            </w:pPr>
            <w:r>
              <w:rPr>
                <w:rFonts w:hint="eastAsia" w:ascii="宋体" w:hAnsi="宋体" w:eastAsia="宋体" w:cs="宋体"/>
                <w:b w:val="0"/>
                <w:bCs w:val="0"/>
                <w:color w:val="auto"/>
                <w:sz w:val="24"/>
                <w:szCs w:val="24"/>
                <w:highlight w:val="none"/>
                <w:lang w:val="en-US" w:eastAsia="zh-CN"/>
              </w:rPr>
              <w:t>备注：</w:t>
            </w:r>
            <w:r>
              <w:rPr>
                <w:rFonts w:hint="eastAsia" w:ascii="宋体" w:hAnsi="宋体" w:eastAsia="宋体" w:cs="宋体"/>
                <w:b w:val="0"/>
                <w:bCs w:val="0"/>
                <w:color w:val="auto"/>
                <w:sz w:val="24"/>
                <w:szCs w:val="24"/>
                <w:highlight w:val="none"/>
                <w:lang w:eastAsia="zh-CN"/>
              </w:rPr>
              <w:t>符合上述条件者</w:t>
            </w:r>
            <w:r>
              <w:rPr>
                <w:rFonts w:hint="eastAsia" w:ascii="宋体" w:hAnsi="宋体" w:eastAsia="宋体" w:cs="宋体"/>
                <w:b w:val="0"/>
                <w:bCs w:val="0"/>
                <w:color w:val="auto"/>
                <w:sz w:val="24"/>
                <w:szCs w:val="24"/>
                <w:highlight w:val="none"/>
                <w:lang w:val="en-US" w:eastAsia="zh-CN"/>
              </w:rPr>
              <w:t>每具备一项得5分，满分15</w:t>
            </w:r>
            <w:r>
              <w:rPr>
                <w:rFonts w:hint="eastAsia" w:ascii="宋体" w:hAnsi="宋体" w:eastAsia="宋体" w:cs="宋体"/>
                <w:b w:val="0"/>
                <w:bCs w:val="0"/>
                <w:color w:val="auto"/>
                <w:sz w:val="24"/>
                <w:szCs w:val="24"/>
                <w:highlight w:val="none"/>
              </w:rPr>
              <w:t>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000000"/>
                <w:sz w:val="24"/>
                <w:szCs w:val="24"/>
                <w:lang w:val="en-US" w:eastAsia="zh-CN"/>
              </w:rPr>
            </w:pPr>
            <w:r>
              <w:rPr>
                <w:rFonts w:hint="eastAsia" w:ascii="宋体" w:hAnsi="宋体" w:eastAsia="宋体" w:cs="宋体"/>
                <w:b/>
                <w:color w:val="000000"/>
                <w:sz w:val="24"/>
                <w:szCs w:val="24"/>
                <w:lang w:val="en-US" w:eastAsia="zh-CN"/>
              </w:rPr>
              <w:t>0-</w:t>
            </w:r>
            <w:r>
              <w:rPr>
                <w:rFonts w:hint="eastAsia" w:ascii="宋体" w:hAnsi="宋体" w:cs="宋体"/>
                <w:b/>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24"/>
                <w:szCs w:val="24"/>
              </w:rPr>
            </w:pPr>
            <w:r>
              <w:rPr>
                <w:rFonts w:hint="eastAsia" w:ascii="宋体" w:hAnsi="宋体" w:eastAsia="宋体" w:cs="宋体"/>
                <w:color w:val="auto"/>
                <w:sz w:val="24"/>
                <w:szCs w:val="24"/>
                <w:highlight w:val="none"/>
              </w:rPr>
              <w:t>售后服务</w:t>
            </w:r>
            <w:r>
              <w:rPr>
                <w:rFonts w:hint="eastAsia" w:ascii="宋体" w:hAnsi="宋体" w:eastAsia="宋体" w:cs="宋体"/>
                <w:color w:val="auto"/>
                <w:sz w:val="24"/>
                <w:szCs w:val="24"/>
                <w:highlight w:val="none"/>
                <w:lang w:val="en-US" w:eastAsia="zh-CN"/>
              </w:rPr>
              <w:t>方案</w:t>
            </w:r>
            <w:r>
              <w:rPr>
                <w:rFonts w:hint="eastAsia" w:ascii="宋体" w:hAnsi="宋体" w:cs="宋体"/>
                <w:bCs/>
                <w:color w:val="000000"/>
                <w:sz w:val="24"/>
                <w:szCs w:val="24"/>
                <w:lang w:val="en-US" w:eastAsia="zh-CN"/>
              </w:rPr>
              <w:t xml:space="preserve">(10 </w:t>
            </w:r>
          </w:p>
          <w:p>
            <w:pPr>
              <w:spacing w:line="400" w:lineRule="exact"/>
              <w:jc w:val="center"/>
              <w:rPr>
                <w:rFonts w:hint="eastAsia" w:ascii="宋体" w:hAnsi="宋体" w:cs="宋体"/>
                <w:color w:val="000000"/>
                <w:sz w:val="24"/>
                <w:szCs w:val="24"/>
                <w:lang w:eastAsia="zh-CN"/>
              </w:rPr>
            </w:pPr>
            <w:r>
              <w:rPr>
                <w:rFonts w:hint="eastAsia" w:ascii="宋体" w:hAnsi="宋体" w:cs="宋体"/>
                <w:bCs/>
                <w:color w:val="000000"/>
                <w:sz w:val="24"/>
                <w:szCs w:val="24"/>
                <w:lang w:val="en-US" w:eastAsia="zh-CN"/>
              </w:rPr>
              <w:t>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有专业的售后服务体系及负责团队，服务承诺能够充分满足采购人的需求，保证数据绝对</w:t>
            </w:r>
            <w:r>
              <w:rPr>
                <w:rFonts w:hint="eastAsia" w:ascii="宋体" w:hAnsi="宋体" w:eastAsia="宋体" w:cs="宋体"/>
                <w:color w:val="auto"/>
                <w:sz w:val="24"/>
                <w:szCs w:val="24"/>
                <w:highlight w:val="none"/>
                <w:lang w:eastAsia="zh-CN"/>
              </w:rPr>
              <w:t>真实、</w:t>
            </w:r>
            <w:r>
              <w:rPr>
                <w:rFonts w:hint="eastAsia" w:ascii="宋体" w:hAnsi="宋体" w:eastAsia="宋体" w:cs="宋体"/>
                <w:color w:val="auto"/>
                <w:sz w:val="24"/>
                <w:szCs w:val="24"/>
                <w:highlight w:val="none"/>
              </w:rPr>
              <w:t>安全。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①服务措施阐述合理、操作性强，有违约责任承诺、质量承诺、服务承诺、保密承诺、廉洁承诺、成果完成时间承诺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保证</w:t>
            </w:r>
            <w:r>
              <w:rPr>
                <w:rFonts w:hint="eastAsia" w:ascii="宋体" w:hAnsi="宋体" w:eastAsia="宋体" w:cs="宋体"/>
                <w:color w:val="auto"/>
                <w:sz w:val="24"/>
                <w:szCs w:val="24"/>
                <w:highlight w:val="none"/>
              </w:rPr>
              <w:t>数据</w:t>
            </w:r>
            <w:r>
              <w:rPr>
                <w:rFonts w:hint="eastAsia" w:ascii="宋体" w:hAnsi="宋体" w:eastAsia="宋体" w:cs="宋体"/>
                <w:color w:val="auto"/>
                <w:sz w:val="24"/>
                <w:szCs w:val="24"/>
                <w:highlight w:val="none"/>
                <w:lang w:eastAsia="zh-CN"/>
              </w:rPr>
              <w:t>真实</w:t>
            </w:r>
            <w:r>
              <w:rPr>
                <w:rFonts w:hint="eastAsia" w:ascii="宋体" w:hAnsi="宋体" w:eastAsia="宋体" w:cs="宋体"/>
                <w:color w:val="auto"/>
                <w:sz w:val="24"/>
                <w:szCs w:val="24"/>
                <w:highlight w:val="none"/>
              </w:rPr>
              <w:t>安全</w:t>
            </w:r>
            <w:r>
              <w:rPr>
                <w:rFonts w:hint="eastAsia" w:ascii="宋体" w:hAnsi="宋体" w:cs="宋体"/>
                <w:color w:val="auto"/>
                <w:sz w:val="24"/>
                <w:szCs w:val="24"/>
                <w:highlight w:val="none"/>
                <w:lang w:val="en-US" w:eastAsia="zh-CN"/>
              </w:rPr>
              <w:t>承诺</w:t>
            </w:r>
            <w:r>
              <w:rPr>
                <w:rFonts w:hint="eastAsia" w:ascii="宋体" w:hAnsi="宋体" w:eastAsia="宋体" w:cs="宋体"/>
                <w:color w:val="auto"/>
                <w:sz w:val="24"/>
                <w:szCs w:val="24"/>
                <w:highlight w:val="none"/>
              </w:rPr>
              <w:t>，且承诺内容可行、高效、全面</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针对突发事件有合理可行的应急响应方案</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服务</w:t>
            </w:r>
            <w:r>
              <w:rPr>
                <w:rFonts w:hint="eastAsia" w:ascii="宋体" w:hAnsi="宋体" w:cs="宋体"/>
                <w:color w:val="auto"/>
                <w:sz w:val="24"/>
                <w:szCs w:val="24"/>
                <w:highlight w:val="none"/>
                <w:lang w:val="en-US" w:eastAsia="zh-CN"/>
              </w:rPr>
              <w:t>措施及服务</w:t>
            </w:r>
            <w:r>
              <w:rPr>
                <w:rFonts w:hint="eastAsia" w:ascii="宋体" w:hAnsi="宋体" w:eastAsia="宋体" w:cs="宋体"/>
                <w:color w:val="auto"/>
                <w:sz w:val="24"/>
                <w:szCs w:val="24"/>
                <w:highlight w:val="none"/>
              </w:rPr>
              <w:t>承诺</w:t>
            </w:r>
            <w:r>
              <w:rPr>
                <w:rFonts w:hint="eastAsia" w:ascii="宋体" w:hAnsi="宋体" w:cs="宋体"/>
                <w:color w:val="auto"/>
                <w:sz w:val="24"/>
                <w:szCs w:val="24"/>
                <w:highlight w:val="none"/>
                <w:lang w:val="en-US" w:eastAsia="zh-CN"/>
              </w:rPr>
              <w:t>一般得5分；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服务</w:t>
            </w:r>
            <w:r>
              <w:rPr>
                <w:rFonts w:hint="eastAsia" w:ascii="宋体" w:hAnsi="宋体" w:cs="宋体"/>
                <w:color w:val="auto"/>
                <w:sz w:val="24"/>
                <w:szCs w:val="24"/>
                <w:highlight w:val="none"/>
                <w:lang w:val="en-US" w:eastAsia="zh-CN"/>
              </w:rPr>
              <w:t>措施及服务</w:t>
            </w:r>
            <w:r>
              <w:rPr>
                <w:rFonts w:hint="eastAsia" w:ascii="宋体" w:hAnsi="宋体" w:eastAsia="宋体" w:cs="宋体"/>
                <w:color w:val="auto"/>
                <w:sz w:val="24"/>
                <w:szCs w:val="24"/>
                <w:highlight w:val="none"/>
              </w:rPr>
              <w:t>承诺</w:t>
            </w:r>
            <w:r>
              <w:rPr>
                <w:rFonts w:hint="eastAsia" w:ascii="宋体" w:hAnsi="宋体" w:cs="宋体"/>
                <w:color w:val="auto"/>
                <w:sz w:val="24"/>
                <w:szCs w:val="24"/>
                <w:highlight w:val="none"/>
                <w:lang w:val="en-US" w:eastAsia="zh-CN"/>
              </w:rPr>
              <w:t>差得2分。</w:t>
            </w:r>
          </w:p>
          <w:p>
            <w:pPr>
              <w:adjustRightInd w:val="0"/>
              <w:snapToGrid w:val="0"/>
              <w:spacing w:line="400" w:lineRule="exact"/>
              <w:ind w:firstLine="480" w:firstLineChars="200"/>
              <w:jc w:val="left"/>
              <w:rPr>
                <w:rFonts w:hint="eastAsia" w:ascii="宋体" w:hAnsi="宋体" w:cs="宋体"/>
                <w:color w:val="000000"/>
                <w:sz w:val="24"/>
                <w:szCs w:val="24"/>
                <w:lang w:val="en-US" w:eastAsia="zh-CN"/>
              </w:rPr>
            </w:pPr>
            <w:r>
              <w:rPr>
                <w:rFonts w:hint="eastAsia" w:ascii="宋体" w:hAnsi="宋体" w:eastAsia="宋体" w:cs="宋体"/>
                <w:color w:val="auto"/>
                <w:sz w:val="24"/>
                <w:szCs w:val="24"/>
                <w:highlight w:val="none"/>
                <w:lang w:eastAsia="zh-CN"/>
              </w:rPr>
              <w:t>没有</w:t>
            </w:r>
            <w:r>
              <w:rPr>
                <w:rFonts w:hint="eastAsia" w:ascii="宋体" w:hAnsi="宋体" w:eastAsia="宋体" w:cs="宋体"/>
                <w:color w:val="auto"/>
                <w:sz w:val="24"/>
                <w:szCs w:val="24"/>
                <w:highlight w:val="none"/>
              </w:rPr>
              <w:t>服务</w:t>
            </w:r>
            <w:r>
              <w:rPr>
                <w:rFonts w:hint="eastAsia" w:ascii="宋体" w:hAnsi="宋体" w:cs="宋体"/>
                <w:color w:val="auto"/>
                <w:sz w:val="24"/>
                <w:szCs w:val="24"/>
                <w:highlight w:val="none"/>
                <w:lang w:val="en-US" w:eastAsia="zh-CN"/>
              </w:rPr>
              <w:t>措施及服务</w:t>
            </w:r>
            <w:r>
              <w:rPr>
                <w:rFonts w:hint="eastAsia" w:ascii="宋体" w:hAnsi="宋体" w:eastAsia="宋体" w:cs="宋体"/>
                <w:color w:val="auto"/>
                <w:sz w:val="24"/>
                <w:szCs w:val="24"/>
                <w:highlight w:val="none"/>
              </w:rPr>
              <w:t>承诺</w:t>
            </w:r>
            <w:r>
              <w:rPr>
                <w:rFonts w:hint="eastAsia" w:ascii="宋体" w:hAnsi="宋体" w:eastAsia="宋体" w:cs="宋体"/>
                <w:color w:val="auto"/>
                <w:sz w:val="24"/>
                <w:szCs w:val="24"/>
                <w:highlight w:val="none"/>
                <w:lang w:eastAsia="zh-CN"/>
              </w:rPr>
              <w:t>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000000"/>
                <w:sz w:val="24"/>
                <w:szCs w:val="24"/>
                <w:lang w:eastAsia="zh-CN"/>
              </w:rPr>
            </w:pPr>
            <w:r>
              <w:rPr>
                <w:rFonts w:hint="eastAsia" w:ascii="宋体" w:hAnsi="宋体" w:eastAsia="宋体" w:cs="宋体"/>
                <w:color w:val="auto"/>
                <w:sz w:val="24"/>
                <w:szCs w:val="24"/>
                <w:highlight w:val="none"/>
              </w:rPr>
              <w:t>项目实施和技术方案</w:t>
            </w:r>
            <w:r>
              <w:rPr>
                <w:rFonts w:hint="eastAsia" w:ascii="宋体" w:hAnsi="宋体" w:cs="宋体"/>
                <w:bCs/>
                <w:color w:val="000000"/>
                <w:sz w:val="24"/>
                <w:szCs w:val="24"/>
                <w:lang w:val="en-US" w:eastAsia="zh-CN"/>
              </w:rPr>
              <w:t>（10分）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根据供应商针对本项目实施、技术方案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个性化研发及测试能力进行打分：</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①具有针对性、合理性和可操作性的详细项目实施方案以及工作计划安排合理得5分</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个性化研发及测试：能完全按照采购人实际需求进行个性化研发和测试，如冻存全血样本</w:t>
            </w:r>
            <w:r>
              <w:rPr>
                <w:rFonts w:hint="eastAsia" w:ascii="宋体" w:hAnsi="宋体" w:eastAsia="宋体" w:cs="宋体"/>
                <w:color w:val="auto"/>
                <w:sz w:val="24"/>
                <w:szCs w:val="24"/>
                <w:highlight w:val="none"/>
                <w:lang w:eastAsia="zh-CN"/>
              </w:rPr>
              <w:t>核酸</w:t>
            </w:r>
            <w:r>
              <w:rPr>
                <w:rFonts w:hint="eastAsia" w:ascii="宋体" w:hAnsi="宋体" w:eastAsia="宋体" w:cs="宋体"/>
                <w:color w:val="auto"/>
                <w:sz w:val="24"/>
                <w:szCs w:val="24"/>
                <w:highlight w:val="none"/>
              </w:rPr>
              <w:t>提取及建库，酶切测试、片段大小筛选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lang w:val="en-US" w:eastAsia="zh-CN" w:bidi="ar"/>
              </w:rPr>
              <w:t>开发人外周血血清样本总RNA提取以及去rRNA的链特异性文库和SmallRNA文库双文库构建的全流程实验方案</w:t>
            </w:r>
            <w:r>
              <w:rPr>
                <w:rFonts w:hint="eastAsia" w:ascii="宋体" w:hAnsi="宋体" w:eastAsia="宋体" w:cs="宋体"/>
                <w:color w:val="auto"/>
                <w:sz w:val="24"/>
                <w:szCs w:val="24"/>
                <w:highlight w:val="none"/>
              </w:rPr>
              <w:t>等研发需求，得5分。</w:t>
            </w:r>
          </w:p>
          <w:p>
            <w:pPr>
              <w:adjustRightInd w:val="0"/>
              <w:snapToGrid w:val="0"/>
              <w:spacing w:line="400" w:lineRule="exact"/>
              <w:jc w:val="left"/>
              <w:rPr>
                <w:rFonts w:hint="eastAsia" w:ascii="宋体" w:hAnsi="宋体" w:cs="宋体"/>
                <w:color w:val="000000"/>
                <w:sz w:val="24"/>
                <w:szCs w:val="24"/>
                <w:lang w:val="en-US" w:eastAsia="zh-CN"/>
              </w:rPr>
            </w:pPr>
            <w:r>
              <w:rPr>
                <w:rFonts w:hint="eastAsia" w:ascii="宋体" w:hAnsi="宋体" w:eastAsia="宋体" w:cs="宋体"/>
                <w:color w:val="auto"/>
                <w:sz w:val="24"/>
                <w:szCs w:val="24"/>
                <w:highlight w:val="none"/>
                <w:lang w:val="en-US" w:eastAsia="zh-CN"/>
              </w:rPr>
              <w:t>备注：每提供一项得5分，不</w:t>
            </w:r>
            <w:r>
              <w:rPr>
                <w:rFonts w:hint="eastAsia" w:ascii="宋体" w:hAnsi="宋体" w:eastAsia="宋体" w:cs="宋体"/>
                <w:color w:val="auto"/>
                <w:sz w:val="24"/>
                <w:szCs w:val="24"/>
                <w:highlight w:val="none"/>
                <w:lang w:eastAsia="zh-CN"/>
              </w:rPr>
              <w:t>提供不得分。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响应承诺（5分）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根据供应商针对本项目技术要求响应情况进行评分：</w:t>
            </w: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问题处理2小时内响应，24小时内处理</w:t>
            </w:r>
            <w:r>
              <w:rPr>
                <w:rFonts w:hint="eastAsia" w:ascii="宋体" w:hAnsi="宋体" w:eastAsia="宋体" w:cs="宋体"/>
                <w:color w:val="auto"/>
                <w:sz w:val="24"/>
                <w:szCs w:val="24"/>
                <w:highlight w:val="none"/>
                <w:lang w:eastAsia="zh-CN"/>
              </w:rPr>
              <w:t>反馈；</w:t>
            </w:r>
            <w:r>
              <w:rPr>
                <w:rFonts w:hint="eastAsia" w:ascii="宋体" w:hAnsi="宋体" w:eastAsia="宋体" w:cs="宋体"/>
                <w:color w:val="auto"/>
                <w:sz w:val="24"/>
                <w:szCs w:val="24"/>
                <w:highlight w:val="none"/>
              </w:rPr>
              <w:t>遇疑难问题需在8小时内与采购人进行沟通协商，并明确问题处理完成时间，</w:t>
            </w:r>
            <w:r>
              <w:rPr>
                <w:rFonts w:hint="eastAsia" w:ascii="宋体" w:hAnsi="宋体" w:eastAsia="宋体" w:cs="宋体"/>
                <w:color w:val="auto"/>
                <w:sz w:val="24"/>
                <w:szCs w:val="24"/>
                <w:highlight w:val="none"/>
                <w:lang w:eastAsia="zh-CN"/>
              </w:rPr>
              <w:t>且问题的处理不影响总体服务期限。</w:t>
            </w:r>
          </w:p>
          <w:p>
            <w:pPr>
              <w:adjustRightInd w:val="0"/>
              <w:snapToGrid w:val="0"/>
              <w:spacing w:line="400" w:lineRule="exact"/>
              <w:jc w:val="left"/>
              <w:rPr>
                <w:rFonts w:hint="eastAsia" w:ascii="宋体" w:hAnsi="宋体" w:cs="宋体"/>
                <w:bCs/>
                <w:color w:val="000000"/>
                <w:sz w:val="24"/>
                <w:szCs w:val="24"/>
                <w:lang w:val="en-US" w:eastAsia="zh-CN"/>
              </w:rPr>
            </w:pPr>
            <w:r>
              <w:rPr>
                <w:rFonts w:hint="eastAsia" w:ascii="宋体" w:hAnsi="宋体" w:cs="宋体"/>
                <w:color w:val="auto"/>
                <w:sz w:val="24"/>
                <w:szCs w:val="24"/>
                <w:highlight w:val="none"/>
                <w:lang w:val="en-US" w:eastAsia="zh-CN"/>
              </w:rPr>
              <w:t>备注：承诺以上要求</w:t>
            </w:r>
            <w:r>
              <w:rPr>
                <w:rFonts w:hint="eastAsia" w:ascii="宋体" w:hAnsi="宋体" w:eastAsia="宋体" w:cs="宋体"/>
                <w:color w:val="auto"/>
                <w:sz w:val="24"/>
                <w:szCs w:val="24"/>
                <w:highlight w:val="none"/>
              </w:rPr>
              <w:t>得5分</w:t>
            </w:r>
            <w:r>
              <w:rPr>
                <w:rFonts w:hint="eastAsia" w:ascii="宋体" w:hAnsi="宋体" w:eastAsia="宋体" w:cs="宋体"/>
                <w:color w:val="auto"/>
                <w:sz w:val="24"/>
                <w:szCs w:val="24"/>
                <w:highlight w:val="none"/>
                <w:lang w:eastAsia="zh-CN"/>
              </w:rPr>
              <w:t>，不</w:t>
            </w:r>
            <w:r>
              <w:rPr>
                <w:rFonts w:hint="eastAsia" w:ascii="宋体" w:hAnsi="宋体" w:cs="宋体"/>
                <w:color w:val="auto"/>
                <w:sz w:val="24"/>
                <w:szCs w:val="24"/>
                <w:highlight w:val="none"/>
                <w:lang w:val="en-US" w:eastAsia="zh-CN"/>
              </w:rPr>
              <w:t>承诺</w:t>
            </w:r>
            <w:r>
              <w:rPr>
                <w:rFonts w:hint="eastAsia" w:ascii="宋体" w:hAnsi="宋体" w:eastAsia="宋体" w:cs="宋体"/>
                <w:color w:val="auto"/>
                <w:sz w:val="24"/>
                <w:szCs w:val="24"/>
                <w:highlight w:val="none"/>
                <w:lang w:eastAsia="zh-CN"/>
              </w:rPr>
              <w:t>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个性化方案（10分）</w:t>
            </w:r>
          </w:p>
        </w:tc>
        <w:tc>
          <w:tcPr>
            <w:tcW w:w="620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288"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供应商</w:t>
            </w:r>
            <w:r>
              <w:rPr>
                <w:rFonts w:hint="eastAsia" w:ascii="宋体" w:hAnsi="宋体" w:eastAsia="宋体" w:cs="宋体"/>
                <w:color w:val="auto"/>
                <w:sz w:val="24"/>
                <w:szCs w:val="24"/>
                <w:highlight w:val="none"/>
              </w:rPr>
              <w:t>针对本项目</w:t>
            </w:r>
            <w:r>
              <w:rPr>
                <w:rFonts w:hint="eastAsia" w:ascii="宋体" w:hAnsi="宋体" w:eastAsia="宋体" w:cs="宋体"/>
                <w:color w:val="auto"/>
                <w:sz w:val="24"/>
                <w:szCs w:val="24"/>
                <w:highlight w:val="none"/>
                <w:lang w:val="en-US" w:eastAsia="zh-CN"/>
              </w:rPr>
              <w:t>R</w:t>
            </w:r>
            <w:r>
              <w:rPr>
                <w:rFonts w:hint="eastAsia" w:ascii="宋体" w:hAnsi="宋体" w:eastAsia="宋体" w:cs="宋体"/>
                <w:color w:val="auto"/>
                <w:sz w:val="24"/>
                <w:szCs w:val="24"/>
                <w:highlight w:val="none"/>
              </w:rPr>
              <w:t>NA提取、建库、测序，生信分析，结题报告，学术支持等制定个性化方案，</w:t>
            </w: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rPr>
              <w:t>完备</w:t>
            </w:r>
            <w:r>
              <w:rPr>
                <w:rFonts w:hint="eastAsia" w:ascii="宋体" w:hAnsi="宋体" w:cs="宋体"/>
                <w:color w:val="auto"/>
                <w:sz w:val="24"/>
                <w:szCs w:val="24"/>
                <w:highlight w:val="none"/>
                <w:lang w:val="en-US" w:eastAsia="zh-CN"/>
              </w:rPr>
              <w:t>可靠</w:t>
            </w:r>
            <w:r>
              <w:rPr>
                <w:rFonts w:hint="eastAsia" w:ascii="宋体" w:hAnsi="宋体" w:eastAsia="宋体" w:cs="宋体"/>
                <w:color w:val="auto"/>
                <w:sz w:val="24"/>
                <w:szCs w:val="24"/>
                <w:highlight w:val="none"/>
              </w:rPr>
              <w:t>且有助于项目结题得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0分；</w:t>
            </w: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rPr>
              <w:t>完备但可行性一般得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方案不具体</w:t>
            </w:r>
            <w:r>
              <w:rPr>
                <w:rFonts w:hint="eastAsia" w:ascii="宋体" w:hAnsi="宋体" w:eastAsia="宋体" w:cs="宋体"/>
                <w:color w:val="auto"/>
                <w:sz w:val="24"/>
                <w:szCs w:val="24"/>
                <w:highlight w:val="none"/>
              </w:rPr>
              <w:t>且可行性较差得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分，不提供不得分。</w:t>
            </w:r>
          </w:p>
          <w:p>
            <w:pPr>
              <w:adjustRightInd w:val="0"/>
              <w:snapToGrid w:val="0"/>
              <w:spacing w:line="400" w:lineRule="exact"/>
              <w:ind w:firstLine="482" w:firstLineChars="200"/>
              <w:jc w:val="left"/>
              <w:rPr>
                <w:rFonts w:ascii="宋体" w:hAnsi="宋体" w:cs="宋体"/>
                <w:color w:val="000000"/>
                <w:sz w:val="24"/>
                <w:szCs w:val="24"/>
              </w:rPr>
            </w:pPr>
            <w:r>
              <w:rPr>
                <w:rFonts w:hint="eastAsia" w:ascii="宋体" w:hAnsi="宋体" w:eastAsia="宋体" w:cs="宋体"/>
                <w:b/>
                <w:bCs/>
                <w:color w:val="auto"/>
                <w:sz w:val="24"/>
                <w:szCs w:val="24"/>
                <w:highlight w:val="none"/>
              </w:rPr>
              <w:t>评审依据：供应商自拟服务方案。</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eastAsia="宋体" w:cs="宋体"/>
                <w:b/>
                <w:color w:val="000000"/>
                <w:sz w:val="24"/>
                <w:szCs w:val="24"/>
                <w:lang w:val="en-US" w:eastAsia="zh-CN"/>
              </w:rPr>
              <w:t>0-</w:t>
            </w:r>
            <w:r>
              <w:rPr>
                <w:rFonts w:hint="eastAsia" w:ascii="宋体" w:hAnsi="宋体" w:cs="宋体"/>
                <w:b/>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526" w:hRule="atLeast"/>
          <w:jc w:val="center"/>
        </w:trPr>
        <w:tc>
          <w:tcPr>
            <w:tcW w:w="1183" w:type="dxa"/>
            <w:tcBorders>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价格分</w:t>
            </w:r>
          </w:p>
          <w:p>
            <w:pPr>
              <w:spacing w:line="400" w:lineRule="exact"/>
              <w:jc w:val="center"/>
              <w:rPr>
                <w:rFonts w:ascii="宋体" w:hAnsi="宋体" w:cs="宋体"/>
                <w:sz w:val="24"/>
                <w:szCs w:val="24"/>
              </w:rPr>
            </w:pP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分）</w:t>
            </w:r>
          </w:p>
        </w:tc>
        <w:tc>
          <w:tcPr>
            <w:tcW w:w="809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sz w:val="24"/>
                <w:szCs w:val="24"/>
              </w:rPr>
            </w:pPr>
            <w:r>
              <w:rPr>
                <w:rFonts w:hint="eastAsia" w:ascii="宋体" w:hAnsi="宋体" w:cs="宋体"/>
                <w:b/>
                <w:bCs/>
                <w:sz w:val="24"/>
                <w:szCs w:val="24"/>
              </w:rPr>
              <w:t>价格分统一采用低价优先法，即满足磋商文件要求且最终报价最低的价格作为评标基准价，其价格分为满分</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10</w:t>
            </w:r>
            <w:r>
              <w:rPr>
                <w:rFonts w:hint="eastAsia" w:ascii="宋体" w:hAnsi="宋体" w:cs="宋体"/>
                <w:b/>
                <w:bCs/>
                <w:sz w:val="24"/>
                <w:szCs w:val="24"/>
                <w:u w:val="single"/>
              </w:rPr>
              <w:t xml:space="preserve"> </w:t>
            </w:r>
            <w:r>
              <w:rPr>
                <w:rFonts w:hint="eastAsia" w:ascii="宋体" w:hAnsi="宋体" w:cs="宋体"/>
                <w:b/>
                <w:bCs/>
                <w:sz w:val="24"/>
                <w:szCs w:val="24"/>
              </w:rPr>
              <w:t>分。其他磋商供应商的价格分统一按照下列公式计算（四舍五入保留至小数点后两位数）：</w:t>
            </w:r>
          </w:p>
          <w:p>
            <w:pPr>
              <w:spacing w:line="400" w:lineRule="exact"/>
              <w:rPr>
                <w:rFonts w:ascii="宋体" w:hAnsi="宋体" w:cs="宋体"/>
                <w:b/>
                <w:bCs/>
                <w:sz w:val="24"/>
                <w:szCs w:val="24"/>
              </w:rPr>
            </w:pPr>
            <w:r>
              <w:rPr>
                <w:rFonts w:hint="eastAsia" w:ascii="宋体" w:hAnsi="宋体" w:cs="宋体"/>
                <w:b/>
                <w:bCs/>
                <w:sz w:val="24"/>
                <w:szCs w:val="24"/>
              </w:rPr>
              <w:t>磋商报价得分＝（评标基准价/磋商报价）×</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10</w:t>
            </w:r>
            <w:r>
              <w:rPr>
                <w:rFonts w:hint="eastAsia" w:ascii="宋体" w:hAnsi="宋体" w:cs="宋体"/>
                <w:b/>
                <w:bCs/>
                <w:sz w:val="24"/>
                <w:szCs w:val="24"/>
                <w:u w:val="single"/>
              </w:rPr>
              <w:t xml:space="preserve"> </w:t>
            </w:r>
            <w:r>
              <w:rPr>
                <w:rFonts w:hint="eastAsia" w:ascii="宋体" w:hAnsi="宋体" w:cs="宋体"/>
                <w:b/>
                <w:bCs/>
                <w:sz w:val="24"/>
                <w:szCs w:val="24"/>
              </w:rPr>
              <w:t>％×100</w:t>
            </w:r>
          </w:p>
        </w:tc>
      </w:tr>
    </w:tbl>
    <w:p>
      <w:pPr>
        <w:spacing w:line="480" w:lineRule="exact"/>
        <w:ind w:firstLine="480" w:firstLineChars="200"/>
        <w:rPr>
          <w:rFonts w:ascii="宋体" w:hAnsi="宋体" w:cs="宋体"/>
          <w:sz w:val="24"/>
          <w:szCs w:val="24"/>
        </w:rPr>
      </w:pPr>
      <w:r>
        <w:rPr>
          <w:rFonts w:hint="eastAsia" w:ascii="宋体" w:hAnsi="宋体" w:cs="宋体"/>
          <w:sz w:val="24"/>
          <w:szCs w:val="24"/>
        </w:rPr>
        <w:t>2、技术标分汇总方法：对某一供应商的技术标的每一个指标项得分，取各位评委评分之平均值，四舍五入保留至小数点后两位数，得到该供应商该指标项的得分。再将供应商每个技术标的指标项得分进行汇总，得到该供应商的技术标分之和。</w:t>
      </w:r>
    </w:p>
    <w:p>
      <w:pPr>
        <w:pStyle w:val="13"/>
        <w:spacing w:line="480" w:lineRule="exact"/>
        <w:ind w:right="-11" w:firstLine="495"/>
        <w:rPr>
          <w:rFonts w:ascii="宋体" w:hAnsi="宋体" w:eastAsia="宋体" w:cs="宋体"/>
          <w:sz w:val="24"/>
          <w:szCs w:val="24"/>
        </w:rPr>
      </w:pPr>
      <w:r>
        <w:rPr>
          <w:rFonts w:hint="eastAsia" w:ascii="宋体" w:hAnsi="宋体" w:eastAsia="宋体" w:cs="宋体"/>
          <w:sz w:val="24"/>
          <w:szCs w:val="24"/>
        </w:rPr>
        <w:t>3、得分汇总</w:t>
      </w:r>
    </w:p>
    <w:p>
      <w:pPr>
        <w:pStyle w:val="13"/>
        <w:spacing w:line="480" w:lineRule="exact"/>
        <w:ind w:right="-11" w:firstLine="480" w:firstLineChars="200"/>
        <w:rPr>
          <w:rFonts w:ascii="宋体" w:hAnsi="宋体" w:eastAsia="宋体" w:cs="宋体"/>
          <w:sz w:val="24"/>
          <w:szCs w:val="24"/>
        </w:rPr>
      </w:pPr>
      <w:r>
        <w:rPr>
          <w:rFonts w:hint="eastAsia" w:ascii="宋体" w:hAnsi="宋体" w:eastAsia="宋体" w:cs="宋体"/>
          <w:sz w:val="24"/>
          <w:szCs w:val="24"/>
        </w:rPr>
        <w:t>（1）将每个有效磋商供应商的技术标分之和加上根据上述标准计算出的价格分，即为该磋商供应商的综合总得分。</w:t>
      </w:r>
    </w:p>
    <w:p>
      <w:pPr>
        <w:spacing w:line="480" w:lineRule="exact"/>
        <w:ind w:firstLine="480" w:firstLineChars="200"/>
        <w:jc w:val="left"/>
        <w:rPr>
          <w:rFonts w:ascii="宋体" w:hAnsi="宋体" w:cs="宋体"/>
        </w:rPr>
      </w:pPr>
      <w:r>
        <w:rPr>
          <w:rFonts w:hint="eastAsia" w:ascii="宋体" w:hAnsi="宋体" w:cs="宋体"/>
          <w:sz w:val="24"/>
          <w:szCs w:val="24"/>
        </w:rPr>
        <w:t>（2）按照有效磋商供应商综合总得分由高到低依次排出成交供应商及成交候选供应商。</w:t>
      </w:r>
      <w:bookmarkStart w:id="79" w:name="_Toc31228"/>
      <w:r>
        <w:rPr>
          <w:rFonts w:hint="eastAsia" w:ascii="宋体" w:hAnsi="宋体" w:cs="宋体"/>
          <w:sz w:val="24"/>
          <w:szCs w:val="24"/>
        </w:rPr>
        <w:t xml:space="preserve"> </w:t>
      </w:r>
      <w:bookmarkEnd w:id="79"/>
    </w:p>
    <w:p>
      <w:pPr>
        <w:pStyle w:val="3"/>
        <w:spacing w:before="156" w:beforeLines="50" w:after="156" w:afterLines="50" w:line="560" w:lineRule="exact"/>
        <w:jc w:val="left"/>
        <w:rPr>
          <w:rFonts w:hint="eastAsia" w:ascii="宋体" w:hAnsi="宋体" w:eastAsia="宋体" w:cs="宋体"/>
          <w:b w:val="0"/>
          <w:kern w:val="2"/>
          <w:sz w:val="24"/>
          <w:szCs w:val="24"/>
          <w:highlight w:val="none"/>
          <w:lang w:val="en-US" w:eastAsia="zh-CN" w:bidi="ar-SA"/>
        </w:rPr>
      </w:pPr>
      <w:bookmarkStart w:id="80" w:name="_Toc14458"/>
      <w:bookmarkStart w:id="81" w:name="_Toc5553"/>
      <w:r>
        <w:rPr>
          <w:rFonts w:hint="eastAsia" w:ascii="宋体" w:hAnsi="宋体" w:eastAsia="宋体" w:cs="宋体"/>
          <w:b w:val="0"/>
          <w:kern w:val="2"/>
          <w:sz w:val="24"/>
          <w:szCs w:val="24"/>
          <w:highlight w:val="none"/>
          <w:lang w:val="en-US" w:eastAsia="zh-CN" w:bidi="ar-SA"/>
        </w:rPr>
        <w:t>注：以上合同原件及相关证明材料在签订合同前须提交给采购人审查，如有虚假，一律作废标处理。</w:t>
      </w:r>
    </w:p>
    <w:p>
      <w:pPr>
        <w:pStyle w:val="3"/>
        <w:spacing w:before="156" w:beforeLines="50" w:after="156" w:afterLines="50" w:line="560" w:lineRule="exact"/>
        <w:jc w:val="center"/>
        <w:rPr>
          <w:rFonts w:ascii="宋体" w:hAnsi="宋体" w:eastAsia="宋体" w:cs="宋体"/>
          <w:sz w:val="28"/>
          <w:szCs w:val="28"/>
        </w:rPr>
      </w:pPr>
      <w:r>
        <w:rPr>
          <w:rFonts w:hint="eastAsia" w:ascii="宋体" w:hAnsi="宋体" w:eastAsia="宋体" w:cs="宋体"/>
          <w:sz w:val="28"/>
          <w:szCs w:val="28"/>
          <w:highlight w:val="yellow"/>
        </w:rPr>
        <w:br w:type="page"/>
      </w:r>
      <w:bookmarkStart w:id="82" w:name="_Toc8088"/>
      <w:r>
        <w:rPr>
          <w:rFonts w:hint="eastAsia" w:ascii="宋体" w:hAnsi="宋体" w:eastAsia="宋体" w:cs="宋体"/>
          <w:sz w:val="28"/>
          <w:szCs w:val="28"/>
        </w:rPr>
        <w:t>五、响应文件格式</w:t>
      </w:r>
      <w:bookmarkEnd w:id="80"/>
      <w:bookmarkEnd w:id="81"/>
      <w:bookmarkEnd w:id="82"/>
    </w:p>
    <w:p>
      <w:pPr>
        <w:spacing w:line="500" w:lineRule="exact"/>
        <w:jc w:val="center"/>
        <w:rPr>
          <w:rFonts w:ascii="宋体" w:hAnsi="宋体" w:cs="宋体"/>
          <w:b/>
          <w:sz w:val="32"/>
        </w:rPr>
      </w:pPr>
    </w:p>
    <w:p>
      <w:pPr>
        <w:spacing w:line="500" w:lineRule="exact"/>
        <w:jc w:val="center"/>
        <w:outlineLvl w:val="0"/>
        <w:rPr>
          <w:rFonts w:ascii="宋体" w:hAnsi="宋体" w:cs="宋体"/>
          <w:b/>
          <w:sz w:val="32"/>
        </w:rPr>
      </w:pPr>
      <w:r>
        <w:rPr>
          <w:rFonts w:hint="eastAsia" w:ascii="宋体" w:hAnsi="宋体" w:cs="宋体"/>
          <w:b/>
          <w:sz w:val="32"/>
          <w:u w:val="single"/>
        </w:rPr>
        <w:t>　　　　　　　　　</w:t>
      </w:r>
      <w:bookmarkStart w:id="83" w:name="_Toc4448"/>
      <w:bookmarkStart w:id="84" w:name="_Toc22685"/>
      <w:r>
        <w:rPr>
          <w:rFonts w:hint="eastAsia" w:ascii="宋体" w:hAnsi="宋体" w:cs="宋体"/>
          <w:b/>
          <w:sz w:val="32"/>
        </w:rPr>
        <w:t>项目</w:t>
      </w:r>
      <w:bookmarkEnd w:id="83"/>
      <w:bookmarkEnd w:id="84"/>
    </w:p>
    <w:p>
      <w:pPr>
        <w:spacing w:line="900" w:lineRule="exact"/>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响</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应</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文</w:t>
      </w:r>
    </w:p>
    <w:p>
      <w:pPr>
        <w:spacing w:line="900" w:lineRule="exact"/>
        <w:jc w:val="center"/>
        <w:rPr>
          <w:rFonts w:ascii="宋体" w:hAnsi="宋体" w:cs="宋体"/>
          <w:b/>
          <w:sz w:val="72"/>
        </w:rPr>
      </w:pPr>
    </w:p>
    <w:p>
      <w:pPr>
        <w:jc w:val="center"/>
        <w:rPr>
          <w:rFonts w:ascii="宋体" w:hAnsi="宋体" w:cs="宋体"/>
          <w:b/>
          <w:sz w:val="72"/>
        </w:rPr>
      </w:pPr>
      <w:r>
        <w:rPr>
          <w:rFonts w:hint="eastAsia" w:ascii="宋体" w:hAnsi="宋体" w:cs="宋体"/>
          <w:b/>
          <w:sz w:val="72"/>
        </w:rPr>
        <w:t>件</w:t>
      </w:r>
    </w:p>
    <w:p>
      <w:pPr>
        <w:spacing w:after="156" w:afterLines="50"/>
        <w:jc w:val="center"/>
        <w:rPr>
          <w:rFonts w:ascii="宋体" w:hAnsi="宋体" w:cs="宋体"/>
          <w:b/>
          <w:sz w:val="72"/>
        </w:rPr>
      </w:pPr>
    </w:p>
    <w:p>
      <w:pPr>
        <w:spacing w:after="156" w:afterLines="50" w:line="500" w:lineRule="exact"/>
        <w:jc w:val="center"/>
        <w:rPr>
          <w:rFonts w:ascii="宋体" w:hAnsi="宋体" w:cs="宋体"/>
          <w:b/>
          <w:sz w:val="30"/>
          <w:szCs w:val="30"/>
        </w:rPr>
      </w:pPr>
      <w:r>
        <w:rPr>
          <w:rFonts w:hint="eastAsia" w:ascii="宋体" w:hAnsi="宋体" w:cs="宋体"/>
          <w:b/>
          <w:sz w:val="30"/>
          <w:szCs w:val="30"/>
        </w:rPr>
        <w:t>第</w:t>
      </w:r>
      <w:r>
        <w:rPr>
          <w:rFonts w:hint="eastAsia" w:ascii="宋体" w:hAnsi="宋体" w:cs="宋体"/>
          <w:b/>
          <w:sz w:val="30"/>
          <w:szCs w:val="30"/>
          <w:u w:val="single"/>
        </w:rPr>
        <w:t xml:space="preserve">   </w:t>
      </w:r>
      <w:r>
        <w:rPr>
          <w:rFonts w:hint="eastAsia" w:ascii="宋体" w:hAnsi="宋体" w:cs="宋体"/>
          <w:b/>
          <w:sz w:val="30"/>
          <w:szCs w:val="30"/>
        </w:rPr>
        <w:t>包</w:t>
      </w:r>
    </w:p>
    <w:p>
      <w:pPr>
        <w:spacing w:after="156" w:afterLines="50" w:line="500" w:lineRule="exact"/>
        <w:jc w:val="center"/>
        <w:rPr>
          <w:rFonts w:ascii="宋体" w:hAnsi="宋体" w:cs="宋体"/>
          <w:b/>
          <w:sz w:val="72"/>
        </w:rPr>
      </w:pPr>
    </w:p>
    <w:p>
      <w:pPr>
        <w:spacing w:after="156" w:afterLines="50" w:line="500" w:lineRule="exact"/>
        <w:ind w:firstLine="2088" w:firstLineChars="650"/>
        <w:rPr>
          <w:rFonts w:ascii="宋体" w:hAnsi="宋体" w:cs="宋体"/>
          <w:b/>
          <w:sz w:val="32"/>
          <w:u w:val="single"/>
        </w:rPr>
      </w:pPr>
      <w:r>
        <w:rPr>
          <w:rFonts w:hint="eastAsia" w:ascii="宋体" w:hAnsi="宋体" w:cs="宋体"/>
          <w:b/>
          <w:sz w:val="32"/>
        </w:rPr>
        <w:t>供应商：</w:t>
      </w:r>
    </w:p>
    <w:p>
      <w:pPr>
        <w:spacing w:after="156" w:afterLines="50" w:line="500" w:lineRule="exact"/>
        <w:ind w:firstLine="2088" w:firstLineChars="650"/>
        <w:outlineLvl w:val="0"/>
        <w:rPr>
          <w:rFonts w:ascii="宋体" w:hAnsi="宋体" w:cs="宋体"/>
          <w:sz w:val="24"/>
          <w:szCs w:val="28"/>
        </w:rPr>
      </w:pPr>
      <w:bookmarkStart w:id="85" w:name="_Toc5792"/>
      <w:bookmarkStart w:id="86" w:name="_Toc4670"/>
      <w:r>
        <w:rPr>
          <w:rFonts w:hint="eastAsia" w:ascii="宋体" w:hAnsi="宋体" w:cs="宋体"/>
          <w:b/>
          <w:sz w:val="32"/>
        </w:rPr>
        <w:t>年  月  日</w:t>
      </w:r>
      <w:bookmarkEnd w:id="85"/>
      <w:bookmarkEnd w:id="86"/>
    </w:p>
    <w:p>
      <w:pPr>
        <w:pStyle w:val="3"/>
        <w:spacing w:before="156" w:beforeLines="50" w:after="156" w:afterLines="50" w:line="560" w:lineRule="exact"/>
        <w:jc w:val="center"/>
        <w:rPr>
          <w:rFonts w:ascii="宋体" w:hAnsi="宋体" w:eastAsia="宋体" w:cs="宋体"/>
          <w:sz w:val="24"/>
          <w:szCs w:val="24"/>
        </w:rPr>
      </w:pPr>
      <w:bookmarkStart w:id="87" w:name="_Toc20663"/>
      <w:r>
        <w:rPr>
          <w:rFonts w:hint="eastAsia" w:ascii="宋体" w:hAnsi="宋体" w:eastAsia="宋体" w:cs="宋体"/>
          <w:sz w:val="24"/>
          <w:szCs w:val="24"/>
        </w:rPr>
        <w:br w:type="page"/>
      </w:r>
      <w:bookmarkStart w:id="88" w:name="_Toc2602"/>
      <w:r>
        <w:rPr>
          <w:rFonts w:hint="eastAsia" w:ascii="宋体" w:hAnsi="宋体" w:eastAsia="宋体" w:cs="宋体"/>
          <w:sz w:val="24"/>
          <w:szCs w:val="24"/>
        </w:rPr>
        <w:t>响应文件资料清单</w:t>
      </w:r>
      <w:bookmarkEnd w:id="87"/>
      <w:bookmarkEnd w:id="88"/>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b/>
                <w:sz w:val="24"/>
              </w:rPr>
            </w:pPr>
            <w:r>
              <w:rPr>
                <w:rFonts w:hint="eastAsia" w:ascii="宋体" w:hAnsi="宋体" w:cs="宋体"/>
                <w:b/>
                <w:sz w:val="24"/>
              </w:rPr>
              <w:t>序号</w:t>
            </w:r>
          </w:p>
        </w:tc>
        <w:tc>
          <w:tcPr>
            <w:tcW w:w="6038" w:type="dxa"/>
            <w:vAlign w:val="center"/>
          </w:tcPr>
          <w:p>
            <w:pPr>
              <w:spacing w:line="440" w:lineRule="exact"/>
              <w:jc w:val="center"/>
              <w:rPr>
                <w:rFonts w:ascii="宋体" w:hAnsi="宋体" w:cs="宋体"/>
                <w:b/>
                <w:sz w:val="24"/>
              </w:rPr>
            </w:pPr>
            <w:r>
              <w:rPr>
                <w:rFonts w:hint="eastAsia" w:ascii="宋体" w:hAnsi="宋体" w:cs="宋体"/>
                <w:b/>
                <w:sz w:val="24"/>
              </w:rPr>
              <w:t>资料名称</w:t>
            </w:r>
          </w:p>
        </w:tc>
        <w:tc>
          <w:tcPr>
            <w:tcW w:w="1417" w:type="dxa"/>
            <w:vAlign w:val="center"/>
          </w:tcPr>
          <w:p>
            <w:pPr>
              <w:spacing w:line="44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一</w:t>
            </w:r>
          </w:p>
        </w:tc>
        <w:tc>
          <w:tcPr>
            <w:tcW w:w="6038" w:type="dxa"/>
            <w:vAlign w:val="center"/>
          </w:tcPr>
          <w:p>
            <w:pPr>
              <w:spacing w:line="440" w:lineRule="exact"/>
              <w:rPr>
                <w:rFonts w:ascii="宋体" w:hAnsi="宋体" w:cs="宋体"/>
                <w:sz w:val="24"/>
              </w:rPr>
            </w:pPr>
            <w:r>
              <w:rPr>
                <w:rFonts w:hint="eastAsia" w:ascii="宋体" w:hAnsi="宋体" w:cs="宋体"/>
                <w:sz w:val="24"/>
                <w:szCs w:val="24"/>
              </w:rPr>
              <w:t>报价单</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二</w:t>
            </w:r>
          </w:p>
        </w:tc>
        <w:tc>
          <w:tcPr>
            <w:tcW w:w="6038" w:type="dxa"/>
            <w:vAlign w:val="center"/>
          </w:tcPr>
          <w:p>
            <w:pPr>
              <w:spacing w:line="440" w:lineRule="exact"/>
              <w:rPr>
                <w:rFonts w:ascii="宋体" w:hAnsi="宋体" w:cs="宋体"/>
                <w:sz w:val="24"/>
              </w:rPr>
            </w:pPr>
            <w:r>
              <w:rPr>
                <w:rFonts w:hint="eastAsia" w:ascii="宋体" w:hAnsi="宋体" w:cs="宋体"/>
                <w:sz w:val="24"/>
              </w:rPr>
              <w:t>供应商基本信息</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三</w:t>
            </w:r>
          </w:p>
        </w:tc>
        <w:tc>
          <w:tcPr>
            <w:tcW w:w="6038" w:type="dxa"/>
            <w:vAlign w:val="center"/>
          </w:tcPr>
          <w:p>
            <w:pPr>
              <w:pStyle w:val="68"/>
              <w:spacing w:line="440" w:lineRule="exact"/>
              <w:rPr>
                <w:rFonts w:ascii="宋体" w:hAnsi="宋体" w:cs="宋体"/>
              </w:rPr>
            </w:pPr>
            <w:r>
              <w:rPr>
                <w:rFonts w:hint="eastAsia" w:ascii="宋体" w:hAnsi="宋体" w:cs="宋体"/>
                <w:szCs w:val="24"/>
              </w:rPr>
              <w:t>磋商授权书</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四</w:t>
            </w:r>
          </w:p>
        </w:tc>
        <w:tc>
          <w:tcPr>
            <w:tcW w:w="6038" w:type="dxa"/>
            <w:vAlign w:val="center"/>
          </w:tcPr>
          <w:p>
            <w:pPr>
              <w:pStyle w:val="68"/>
              <w:spacing w:line="440" w:lineRule="exact"/>
              <w:rPr>
                <w:rFonts w:ascii="宋体" w:hAnsi="宋体" w:cs="宋体"/>
              </w:rPr>
            </w:pPr>
            <w:r>
              <w:rPr>
                <w:rFonts w:hint="eastAsia" w:ascii="宋体" w:hAnsi="宋体" w:cs="宋体"/>
                <w:szCs w:val="24"/>
              </w:rPr>
              <w:t>磋商响应函</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五</w:t>
            </w:r>
          </w:p>
        </w:tc>
        <w:tc>
          <w:tcPr>
            <w:tcW w:w="6038" w:type="dxa"/>
            <w:vAlign w:val="center"/>
          </w:tcPr>
          <w:p>
            <w:pPr>
              <w:spacing w:line="440" w:lineRule="exact"/>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六</w:t>
            </w:r>
          </w:p>
        </w:tc>
        <w:tc>
          <w:tcPr>
            <w:tcW w:w="6038" w:type="dxa"/>
            <w:vAlign w:val="center"/>
          </w:tcPr>
          <w:p>
            <w:pPr>
              <w:spacing w:line="440" w:lineRule="exact"/>
              <w:rPr>
                <w:rFonts w:ascii="宋体" w:hAnsi="宋体" w:cs="宋体"/>
                <w:sz w:val="24"/>
              </w:rPr>
            </w:pPr>
            <w:r>
              <w:rPr>
                <w:rFonts w:hint="eastAsia" w:ascii="宋体" w:hAnsi="宋体" w:cs="宋体"/>
                <w:sz w:val="24"/>
                <w:szCs w:val="24"/>
              </w:rPr>
              <w:t>响应情况表</w:t>
            </w: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七</w:t>
            </w:r>
          </w:p>
        </w:tc>
        <w:tc>
          <w:tcPr>
            <w:tcW w:w="6038" w:type="dxa"/>
            <w:vAlign w:val="center"/>
          </w:tcPr>
          <w:p>
            <w:pPr>
              <w:spacing w:line="440" w:lineRule="exact"/>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八</w:t>
            </w:r>
          </w:p>
        </w:tc>
        <w:tc>
          <w:tcPr>
            <w:tcW w:w="6038" w:type="dxa"/>
            <w:vAlign w:val="center"/>
          </w:tcPr>
          <w:p>
            <w:pPr>
              <w:spacing w:line="440" w:lineRule="exact"/>
              <w:rPr>
                <w:rFonts w:ascii="宋体" w:hAnsi="宋体" w:cs="宋体"/>
                <w:sz w:val="24"/>
              </w:rPr>
            </w:pPr>
            <w:r>
              <w:rPr>
                <w:rFonts w:hint="eastAsia" w:ascii="宋体" w:hAnsi="宋体" w:cs="宋体"/>
                <w:sz w:val="24"/>
                <w:szCs w:val="24"/>
              </w:rPr>
              <w:t>磋商文件要求和供应商认为需要提供的其它说明和资料</w:t>
            </w: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bl>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pStyle w:val="3"/>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89" w:name="_Toc21309"/>
      <w:bookmarkStart w:id="90" w:name="_Toc8158"/>
      <w:bookmarkStart w:id="91" w:name="_Toc10603"/>
      <w:r>
        <w:rPr>
          <w:rFonts w:hint="eastAsia" w:ascii="宋体" w:hAnsi="宋体" w:eastAsia="宋体" w:cs="宋体"/>
          <w:sz w:val="24"/>
          <w:szCs w:val="24"/>
        </w:rPr>
        <w:t>附件一</w:t>
      </w:r>
      <w:bookmarkEnd w:id="89"/>
      <w:bookmarkEnd w:id="90"/>
      <w:bookmarkEnd w:id="91"/>
    </w:p>
    <w:p>
      <w:pPr>
        <w:jc w:val="center"/>
        <w:rPr>
          <w:rFonts w:hint="default" w:ascii="宋体" w:hAnsi="宋体" w:eastAsia="宋体" w:cs="宋体"/>
          <w:b/>
          <w:kern w:val="0"/>
          <w:sz w:val="24"/>
          <w:szCs w:val="24"/>
          <w:lang w:val="en-US" w:eastAsia="zh-CN" w:bidi="ar-SA"/>
        </w:rPr>
      </w:pPr>
      <w:r>
        <w:rPr>
          <w:rFonts w:hint="eastAsia" w:ascii="宋体" w:hAnsi="宋体" w:cs="宋体"/>
          <w:b/>
          <w:kern w:val="0"/>
          <w:sz w:val="24"/>
          <w:szCs w:val="24"/>
          <w:lang w:val="en-US" w:eastAsia="zh-CN" w:bidi="ar-SA"/>
        </w:rPr>
        <w:t>报价单</w:t>
      </w:r>
    </w:p>
    <w:p>
      <w:pPr>
        <w:pStyle w:val="33"/>
        <w:rPr>
          <w:rFonts w:hint="default"/>
          <w:lang w:val="en-US" w:eastAsia="zh-CN"/>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078"/>
        <w:gridCol w:w="1214"/>
        <w:gridCol w:w="109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40" w:type="dxa"/>
            <w:vAlign w:val="center"/>
          </w:tcPr>
          <w:p>
            <w:pPr>
              <w:jc w:val="center"/>
              <w:rPr>
                <w:rFonts w:ascii="宋体" w:hAnsi="宋体" w:cs="宋体"/>
                <w:b/>
                <w:sz w:val="24"/>
                <w:szCs w:val="24"/>
              </w:rPr>
            </w:pPr>
            <w:r>
              <w:rPr>
                <w:rFonts w:hint="eastAsia" w:ascii="宋体" w:hAnsi="宋体" w:cs="宋体"/>
                <w:b/>
                <w:sz w:val="24"/>
                <w:szCs w:val="24"/>
              </w:rPr>
              <w:t>序号</w:t>
            </w:r>
          </w:p>
        </w:tc>
        <w:tc>
          <w:tcPr>
            <w:tcW w:w="4078" w:type="dxa"/>
            <w:vAlign w:val="center"/>
          </w:tcPr>
          <w:p>
            <w:pPr>
              <w:jc w:val="center"/>
              <w:rPr>
                <w:rFonts w:ascii="宋体" w:hAnsi="宋体" w:cs="宋体"/>
                <w:b/>
                <w:sz w:val="24"/>
                <w:szCs w:val="24"/>
              </w:rPr>
            </w:pPr>
            <w:r>
              <w:rPr>
                <w:rFonts w:hint="eastAsia" w:ascii="宋体" w:hAnsi="宋体" w:cs="宋体"/>
                <w:b/>
                <w:sz w:val="24"/>
                <w:szCs w:val="24"/>
              </w:rPr>
              <w:t>服务内容</w:t>
            </w:r>
          </w:p>
        </w:tc>
        <w:tc>
          <w:tcPr>
            <w:tcW w:w="1214" w:type="dxa"/>
            <w:vAlign w:val="center"/>
          </w:tcPr>
          <w:p>
            <w:pPr>
              <w:jc w:val="center"/>
              <w:rPr>
                <w:rFonts w:ascii="宋体" w:hAnsi="宋体" w:cs="宋体"/>
                <w:b/>
                <w:sz w:val="24"/>
                <w:szCs w:val="24"/>
              </w:rPr>
            </w:pPr>
            <w:r>
              <w:rPr>
                <w:rFonts w:hint="eastAsia" w:ascii="宋体" w:hAnsi="宋体" w:cs="宋体"/>
                <w:b/>
                <w:sz w:val="24"/>
                <w:szCs w:val="24"/>
              </w:rPr>
              <w:t>项</w:t>
            </w:r>
          </w:p>
        </w:tc>
        <w:tc>
          <w:tcPr>
            <w:tcW w:w="1091" w:type="dxa"/>
            <w:vAlign w:val="center"/>
          </w:tcPr>
          <w:p>
            <w:pPr>
              <w:jc w:val="center"/>
              <w:rPr>
                <w:rFonts w:ascii="宋体" w:hAnsi="宋体" w:cs="宋体"/>
                <w:b/>
                <w:sz w:val="24"/>
                <w:szCs w:val="24"/>
              </w:rPr>
            </w:pPr>
            <w:r>
              <w:rPr>
                <w:rFonts w:hint="eastAsia" w:ascii="宋体" w:hAnsi="宋体" w:cs="宋体"/>
                <w:b/>
                <w:sz w:val="24"/>
                <w:szCs w:val="24"/>
              </w:rPr>
              <w:t>单价</w:t>
            </w:r>
          </w:p>
        </w:tc>
        <w:tc>
          <w:tcPr>
            <w:tcW w:w="1821" w:type="dxa"/>
            <w:vAlign w:val="center"/>
          </w:tcPr>
          <w:p>
            <w:pPr>
              <w:jc w:val="center"/>
              <w:rPr>
                <w:rFonts w:ascii="宋体" w:hAnsi="宋体" w:cs="宋体"/>
                <w:b/>
                <w:sz w:val="24"/>
                <w:szCs w:val="24"/>
              </w:rPr>
            </w:pPr>
            <w:r>
              <w:rPr>
                <w:rFonts w:hint="eastAsia" w:ascii="宋体" w:hAnsi="宋体" w:cs="宋体"/>
                <w:b/>
                <w:sz w:val="24"/>
                <w:szCs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tcBorders>
              <w:bottom w:val="single" w:color="auto" w:sz="4" w:space="0"/>
            </w:tcBorders>
            <w:vAlign w:val="center"/>
          </w:tcPr>
          <w:p>
            <w:pPr>
              <w:jc w:val="center"/>
              <w:rPr>
                <w:rFonts w:ascii="宋体" w:hAnsi="宋体" w:cs="宋体"/>
                <w:bCs/>
                <w:sz w:val="24"/>
                <w:szCs w:val="24"/>
              </w:rPr>
            </w:pPr>
            <w:r>
              <w:rPr>
                <w:rFonts w:hint="eastAsia" w:ascii="宋体" w:hAnsi="宋体" w:cs="宋体"/>
                <w:bCs/>
                <w:sz w:val="24"/>
                <w:szCs w:val="24"/>
              </w:rPr>
              <w:t>1</w:t>
            </w:r>
          </w:p>
        </w:tc>
        <w:tc>
          <w:tcPr>
            <w:tcW w:w="4078" w:type="dxa"/>
            <w:vAlign w:val="center"/>
          </w:tcPr>
          <w:p>
            <w:pPr>
              <w:jc w:val="center"/>
              <w:rPr>
                <w:rFonts w:ascii="宋体" w:hAnsi="宋体" w:cs="宋体"/>
                <w:bCs/>
                <w:sz w:val="24"/>
                <w:szCs w:val="24"/>
              </w:rPr>
            </w:pPr>
            <w:r>
              <w:rPr>
                <w:rFonts w:hint="eastAsia"/>
                <w:sz w:val="24"/>
                <w:szCs w:val="24"/>
                <w:lang w:val="en-US" w:eastAsia="zh-CN"/>
              </w:rPr>
              <w:t>皖西卫生职业学院附属医院人血液标本全转录组测序及生信分析检测服务项目</w:t>
            </w:r>
          </w:p>
        </w:tc>
        <w:tc>
          <w:tcPr>
            <w:tcW w:w="1214" w:type="dxa"/>
            <w:vAlign w:val="center"/>
          </w:tcPr>
          <w:p>
            <w:pPr>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1</w:t>
            </w: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r>
              <w:rPr>
                <w:rFonts w:hint="eastAsia" w:ascii="宋体" w:hAnsi="宋体" w:cs="宋体"/>
                <w:bCs/>
                <w:sz w:val="24"/>
                <w:szCs w:val="24"/>
              </w:rPr>
              <w:t>2</w:t>
            </w:r>
          </w:p>
        </w:tc>
        <w:tc>
          <w:tcPr>
            <w:tcW w:w="4078" w:type="dxa"/>
            <w:vAlign w:val="center"/>
          </w:tcPr>
          <w:p>
            <w:pPr>
              <w:jc w:val="center"/>
              <w:rPr>
                <w:rFonts w:ascii="宋体" w:hAnsi="宋体" w:cs="宋体"/>
                <w:bCs/>
                <w:sz w:val="24"/>
                <w:szCs w:val="24"/>
              </w:rPr>
            </w:pP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r>
              <w:rPr>
                <w:rFonts w:hint="eastAsia" w:ascii="宋体" w:hAnsi="宋体" w:cs="宋体"/>
                <w:bCs/>
                <w:sz w:val="24"/>
                <w:szCs w:val="24"/>
              </w:rPr>
              <w:t>3</w:t>
            </w:r>
          </w:p>
        </w:tc>
        <w:tc>
          <w:tcPr>
            <w:tcW w:w="4078" w:type="dxa"/>
            <w:vAlign w:val="center"/>
          </w:tcPr>
          <w:p>
            <w:pPr>
              <w:jc w:val="center"/>
              <w:rPr>
                <w:rFonts w:ascii="宋体" w:hAnsi="宋体" w:cs="宋体"/>
                <w:bCs/>
                <w:sz w:val="24"/>
                <w:szCs w:val="24"/>
              </w:rPr>
            </w:pP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r>
              <w:rPr>
                <w:rFonts w:hint="eastAsia" w:ascii="宋体" w:hAnsi="宋体" w:cs="宋体"/>
                <w:bCs/>
                <w:sz w:val="24"/>
                <w:szCs w:val="24"/>
              </w:rPr>
              <w:t>…</w:t>
            </w:r>
          </w:p>
        </w:tc>
        <w:tc>
          <w:tcPr>
            <w:tcW w:w="4078" w:type="dxa"/>
            <w:vAlign w:val="center"/>
          </w:tcPr>
          <w:p>
            <w:pPr>
              <w:jc w:val="center"/>
              <w:rPr>
                <w:rFonts w:ascii="宋体" w:hAnsi="宋体" w:cs="宋体"/>
                <w:bCs/>
                <w:sz w:val="24"/>
                <w:szCs w:val="24"/>
              </w:rPr>
            </w:pP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p>
        </w:tc>
        <w:tc>
          <w:tcPr>
            <w:tcW w:w="4078" w:type="dxa"/>
            <w:vAlign w:val="center"/>
          </w:tcPr>
          <w:p>
            <w:pPr>
              <w:pStyle w:val="68"/>
              <w:ind w:left="-108"/>
              <w:jc w:val="center"/>
              <w:rPr>
                <w:rFonts w:ascii="宋体" w:hAnsi="宋体" w:cs="宋体"/>
                <w:bCs/>
                <w:szCs w:val="24"/>
              </w:rPr>
            </w:pPr>
            <w:r>
              <w:rPr>
                <w:rFonts w:hint="eastAsia" w:ascii="宋体" w:hAnsi="宋体" w:cs="宋体"/>
                <w:bCs/>
                <w:szCs w:val="24"/>
              </w:rPr>
              <w:t>其他费用</w:t>
            </w: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p>
        </w:tc>
        <w:tc>
          <w:tcPr>
            <w:tcW w:w="4078" w:type="dxa"/>
            <w:vAlign w:val="center"/>
          </w:tcPr>
          <w:p>
            <w:pPr>
              <w:jc w:val="center"/>
              <w:rPr>
                <w:rFonts w:ascii="宋体" w:hAnsi="宋体" w:cs="宋体"/>
                <w:bCs/>
                <w:sz w:val="24"/>
                <w:szCs w:val="24"/>
              </w:rPr>
            </w:pPr>
            <w:r>
              <w:rPr>
                <w:rFonts w:hint="eastAsia" w:ascii="宋体" w:hAnsi="宋体" w:cs="宋体"/>
                <w:bCs/>
                <w:sz w:val="24"/>
                <w:szCs w:val="24"/>
              </w:rPr>
              <w:t>……</w:t>
            </w: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23" w:type="dxa"/>
            <w:gridSpan w:val="4"/>
            <w:vAlign w:val="center"/>
          </w:tcPr>
          <w:p>
            <w:pPr>
              <w:jc w:val="center"/>
              <w:rPr>
                <w:rFonts w:ascii="宋体" w:hAnsi="宋体" w:cs="宋体"/>
                <w:bCs/>
                <w:sz w:val="24"/>
                <w:szCs w:val="24"/>
              </w:rPr>
            </w:pPr>
            <w:r>
              <w:rPr>
                <w:rFonts w:hint="eastAsia" w:ascii="宋体" w:hAnsi="宋体" w:cs="宋体"/>
                <w:b/>
                <w:sz w:val="24"/>
                <w:szCs w:val="24"/>
              </w:rPr>
              <w:t>合计金额（元）</w:t>
            </w:r>
          </w:p>
        </w:tc>
        <w:tc>
          <w:tcPr>
            <w:tcW w:w="1821" w:type="dxa"/>
            <w:vAlign w:val="center"/>
          </w:tcPr>
          <w:p>
            <w:pPr>
              <w:jc w:val="center"/>
              <w:rPr>
                <w:rFonts w:ascii="宋体" w:hAnsi="宋体" w:cs="宋体"/>
                <w:bCs/>
                <w:sz w:val="24"/>
                <w:szCs w:val="24"/>
              </w:rPr>
            </w:pPr>
          </w:p>
        </w:tc>
      </w:tr>
    </w:tbl>
    <w:p>
      <w:pPr>
        <w:pStyle w:val="12"/>
        <w:spacing w:line="360" w:lineRule="auto"/>
        <w:rPr>
          <w:rFonts w:ascii="宋体" w:hAnsi="宋体" w:eastAsia="宋体" w:cs="宋体"/>
          <w:b/>
          <w:bCs/>
          <w:sz w:val="24"/>
        </w:rPr>
      </w:pPr>
    </w:p>
    <w:p>
      <w:pPr>
        <w:pStyle w:val="12"/>
        <w:spacing w:line="560" w:lineRule="exact"/>
        <w:rPr>
          <w:rFonts w:ascii="宋体" w:hAnsi="宋体" w:eastAsia="宋体" w:cs="宋体"/>
          <w:b/>
          <w:bCs/>
          <w:sz w:val="24"/>
          <w:szCs w:val="28"/>
        </w:rPr>
      </w:pPr>
      <w:r>
        <w:rPr>
          <w:rFonts w:hint="eastAsia" w:ascii="宋体" w:hAnsi="宋体" w:eastAsia="宋体" w:cs="宋体"/>
          <w:b/>
          <w:bCs/>
          <w:sz w:val="24"/>
        </w:rPr>
        <w:t>供应商</w:t>
      </w:r>
      <w:r>
        <w:rPr>
          <w:rFonts w:hint="eastAsia" w:ascii="宋体" w:hAnsi="宋体" w:eastAsia="宋体" w:cs="宋体"/>
          <w:b/>
          <w:bCs/>
          <w:sz w:val="24"/>
          <w:lang w:eastAsia="zh-CN"/>
        </w:rPr>
        <w:t>盖章</w:t>
      </w:r>
      <w:r>
        <w:rPr>
          <w:rFonts w:hint="eastAsia" w:ascii="宋体" w:hAnsi="宋体" w:eastAsia="宋体" w:cs="宋体"/>
          <w:b/>
          <w:bCs/>
          <w:sz w:val="24"/>
        </w:rPr>
        <w:t>：</w:t>
      </w:r>
    </w:p>
    <w:p>
      <w:pPr>
        <w:adjustRightInd w:val="0"/>
        <w:snapToGrid w:val="0"/>
        <w:spacing w:line="560" w:lineRule="exact"/>
        <w:rPr>
          <w:rFonts w:ascii="宋体" w:hAnsi="宋体" w:cs="宋体"/>
          <w:b/>
          <w:bCs/>
          <w:sz w:val="24"/>
          <w:szCs w:val="28"/>
        </w:rPr>
      </w:pPr>
      <w:r>
        <w:rPr>
          <w:rFonts w:hint="eastAsia" w:ascii="宋体" w:hAnsi="宋体" w:cs="宋体"/>
          <w:b/>
          <w:bCs/>
          <w:sz w:val="24"/>
          <w:szCs w:val="28"/>
        </w:rPr>
        <w:t>日  期：   年   月   日</w:t>
      </w:r>
    </w:p>
    <w:p>
      <w:pPr>
        <w:adjustRightInd w:val="0"/>
        <w:snapToGrid w:val="0"/>
        <w:spacing w:line="360" w:lineRule="auto"/>
        <w:rPr>
          <w:rFonts w:ascii="宋体" w:hAnsi="宋体" w:cs="宋体"/>
          <w:b/>
          <w:bCs/>
          <w:sz w:val="24"/>
          <w:szCs w:val="28"/>
        </w:rPr>
      </w:pPr>
    </w:p>
    <w:p>
      <w:pPr>
        <w:adjustRightInd w:val="0"/>
        <w:snapToGrid w:val="0"/>
        <w:spacing w:line="360" w:lineRule="auto"/>
        <w:rPr>
          <w:rFonts w:ascii="宋体" w:hAnsi="宋体" w:cs="宋体"/>
          <w:b/>
          <w:sz w:val="24"/>
          <w:szCs w:val="24"/>
        </w:rPr>
      </w:pPr>
      <w:bookmarkStart w:id="92" w:name="_Toc16998"/>
      <w:bookmarkStart w:id="93" w:name="_Toc2007"/>
    </w:p>
    <w:p>
      <w:pPr>
        <w:adjustRightInd w:val="0"/>
        <w:snapToGrid w:val="0"/>
        <w:spacing w:line="360" w:lineRule="auto"/>
        <w:rPr>
          <w:rFonts w:hint="eastAsia" w:ascii="宋体" w:hAnsi="宋体" w:eastAsia="宋体" w:cs="宋体"/>
          <w:b/>
          <w:sz w:val="24"/>
          <w:szCs w:val="24"/>
          <w:lang w:eastAsia="zh-CN"/>
        </w:rPr>
      </w:pPr>
      <w:r>
        <w:rPr>
          <w:rFonts w:hint="eastAsia" w:ascii="宋体" w:hAnsi="宋体" w:cs="宋体"/>
          <w:b/>
          <w:sz w:val="24"/>
          <w:szCs w:val="24"/>
        </w:rPr>
        <w:t>注：表中所列服务为对应本项目需求的全部服务内容。如有漏项或缺项，供应商承担全部责任。本项目报总价，报价中包含利润、风险费、税费及其他一切相关费用</w:t>
      </w:r>
      <w:r>
        <w:rPr>
          <w:rFonts w:hint="eastAsia" w:ascii="宋体" w:hAnsi="宋体" w:cs="宋体"/>
          <w:b/>
          <w:sz w:val="24"/>
          <w:szCs w:val="24"/>
          <w:lang w:eastAsia="zh-CN"/>
        </w:rPr>
        <w:t>。</w:t>
      </w:r>
    </w:p>
    <w:p>
      <w:pPr>
        <w:pStyle w:val="3"/>
        <w:wordWrap w:val="0"/>
        <w:spacing w:before="0" w:after="0" w:line="520" w:lineRule="exact"/>
        <w:rPr>
          <w:rFonts w:ascii="宋体" w:hAnsi="宋体" w:eastAsia="宋体" w:cs="宋体"/>
          <w:sz w:val="24"/>
          <w:szCs w:val="24"/>
        </w:rPr>
      </w:pPr>
    </w:p>
    <w:p>
      <w:pPr>
        <w:pStyle w:val="3"/>
        <w:wordWrap w:val="0"/>
        <w:spacing w:before="0" w:after="0" w:line="520" w:lineRule="exact"/>
        <w:rPr>
          <w:rFonts w:ascii="宋体" w:hAnsi="宋体" w:eastAsia="宋体" w:cs="宋体"/>
          <w:sz w:val="24"/>
          <w:szCs w:val="24"/>
        </w:rPr>
      </w:pPr>
    </w:p>
    <w:p>
      <w:pPr>
        <w:pStyle w:val="3"/>
        <w:wordWrap w:val="0"/>
        <w:spacing w:before="0" w:after="0" w:line="520" w:lineRule="exact"/>
        <w:rPr>
          <w:rFonts w:ascii="宋体" w:hAnsi="宋体" w:eastAsia="宋体" w:cs="宋体"/>
          <w:sz w:val="24"/>
          <w:szCs w:val="24"/>
        </w:rPr>
      </w:pPr>
    </w:p>
    <w:p>
      <w:pPr>
        <w:pStyle w:val="3"/>
        <w:wordWrap w:val="0"/>
        <w:spacing w:before="0" w:after="0" w:line="520" w:lineRule="exact"/>
        <w:rPr>
          <w:rFonts w:ascii="宋体" w:hAnsi="宋体" w:eastAsia="宋体" w:cs="宋体"/>
          <w:sz w:val="24"/>
          <w:szCs w:val="24"/>
        </w:rPr>
      </w:pPr>
      <w:r>
        <w:rPr>
          <w:rFonts w:hint="eastAsia" w:ascii="宋体" w:hAnsi="宋体" w:eastAsia="宋体" w:cs="宋体"/>
          <w:sz w:val="24"/>
          <w:szCs w:val="24"/>
        </w:rPr>
        <w:br w:type="page"/>
      </w:r>
      <w:bookmarkStart w:id="94" w:name="_Toc22855"/>
      <w:r>
        <w:rPr>
          <w:rFonts w:hint="eastAsia" w:ascii="宋体" w:hAnsi="宋体" w:eastAsia="宋体" w:cs="宋体"/>
          <w:sz w:val="24"/>
          <w:szCs w:val="24"/>
        </w:rPr>
        <w:t>附件二</w:t>
      </w:r>
      <w:bookmarkEnd w:id="92"/>
      <w:bookmarkEnd w:id="93"/>
      <w:bookmarkEnd w:id="94"/>
    </w:p>
    <w:p>
      <w:pPr>
        <w:pStyle w:val="3"/>
        <w:spacing w:before="0" w:after="0" w:line="520" w:lineRule="exact"/>
        <w:jc w:val="center"/>
        <w:rPr>
          <w:rFonts w:ascii="宋体" w:hAnsi="宋体" w:eastAsia="宋体" w:cs="宋体"/>
          <w:sz w:val="24"/>
          <w:szCs w:val="24"/>
        </w:rPr>
      </w:pPr>
      <w:bookmarkStart w:id="95" w:name="_Toc17280"/>
      <w:bookmarkStart w:id="96" w:name="_Toc3262"/>
      <w:bookmarkStart w:id="97" w:name="_Toc29464"/>
      <w:r>
        <w:rPr>
          <w:rFonts w:hint="eastAsia" w:ascii="宋体" w:hAnsi="宋体" w:eastAsia="宋体" w:cs="宋体"/>
          <w:sz w:val="24"/>
          <w:szCs w:val="24"/>
        </w:rPr>
        <w:t>供应商基本信息</w:t>
      </w:r>
      <w:bookmarkEnd w:id="95"/>
      <w:bookmarkEnd w:id="96"/>
      <w:bookmarkEnd w:id="97"/>
    </w:p>
    <w:p>
      <w:pPr>
        <w:pStyle w:val="33"/>
        <w:spacing w:after="0" w:line="520" w:lineRule="exact"/>
        <w:ind w:firstLine="0"/>
        <w:jc w:val="center"/>
        <w:rPr>
          <w:rFonts w:ascii="宋体" w:hAnsi="宋体" w:cs="宋体"/>
        </w:rPr>
      </w:pPr>
      <w:r>
        <w:rPr>
          <w:rFonts w:hint="eastAsia" w:ascii="宋体" w:hAnsi="宋体" w:cs="宋体"/>
        </w:rPr>
        <w:t>（</w:t>
      </w:r>
      <w:r>
        <w:rPr>
          <w:rFonts w:hint="eastAsia" w:ascii="宋体" w:hAnsi="宋体" w:cs="宋体"/>
          <w:lang w:val="en-US" w:eastAsia="zh-CN"/>
        </w:rPr>
        <w:t>营业执照等</w:t>
      </w:r>
      <w:r>
        <w:rPr>
          <w:rFonts w:hint="eastAsia" w:ascii="宋体" w:hAnsi="宋体" w:cs="宋体"/>
        </w:rPr>
        <w:t>）</w:t>
      </w:r>
    </w:p>
    <w:p>
      <w:pPr>
        <w:pStyle w:val="3"/>
        <w:wordWrap w:val="0"/>
        <w:spacing w:before="0" w:after="0" w:line="520" w:lineRule="exact"/>
        <w:rPr>
          <w:rFonts w:ascii="宋体" w:hAnsi="宋体" w:eastAsia="宋体" w:cs="宋体"/>
          <w:sz w:val="24"/>
          <w:szCs w:val="24"/>
        </w:rPr>
      </w:pPr>
      <w:bookmarkStart w:id="98" w:name="_Toc18369"/>
      <w:bookmarkStart w:id="99" w:name="_Toc10154"/>
      <w:bookmarkStart w:id="100" w:name="_Toc11062"/>
      <w:r>
        <w:rPr>
          <w:rFonts w:hint="eastAsia" w:ascii="宋体" w:hAnsi="宋体" w:eastAsia="宋体" w:cs="宋体"/>
          <w:sz w:val="24"/>
          <w:szCs w:val="24"/>
        </w:rPr>
        <w:t>附件三</w:t>
      </w:r>
      <w:bookmarkEnd w:id="98"/>
      <w:bookmarkEnd w:id="99"/>
      <w:bookmarkEnd w:id="100"/>
    </w:p>
    <w:p>
      <w:pPr>
        <w:pStyle w:val="3"/>
        <w:spacing w:before="0" w:after="0" w:line="520" w:lineRule="exact"/>
        <w:jc w:val="center"/>
        <w:rPr>
          <w:rFonts w:ascii="宋体" w:hAnsi="宋体" w:eastAsia="宋体" w:cs="宋体"/>
          <w:sz w:val="24"/>
          <w:szCs w:val="24"/>
        </w:rPr>
      </w:pPr>
      <w:bookmarkStart w:id="101" w:name="_Toc10696"/>
      <w:bookmarkStart w:id="102" w:name="_Toc30135"/>
      <w:bookmarkStart w:id="103" w:name="_Toc13141"/>
      <w:r>
        <w:rPr>
          <w:rFonts w:hint="eastAsia" w:ascii="宋体" w:hAnsi="宋体" w:eastAsia="宋体" w:cs="宋体"/>
          <w:sz w:val="24"/>
          <w:szCs w:val="24"/>
        </w:rPr>
        <w:t>磋商授权书</w:t>
      </w:r>
      <w:bookmarkEnd w:id="101"/>
      <w:bookmarkEnd w:id="102"/>
      <w:bookmarkEnd w:id="103"/>
    </w:p>
    <w:p>
      <w:pPr>
        <w:spacing w:line="520" w:lineRule="exact"/>
        <w:rPr>
          <w:rFonts w:ascii="宋体" w:hAnsi="宋体" w:cs="宋体"/>
          <w:sz w:val="24"/>
          <w:szCs w:val="24"/>
        </w:rPr>
      </w:pPr>
    </w:p>
    <w:p>
      <w:pPr>
        <w:spacing w:line="520" w:lineRule="exact"/>
        <w:jc w:val="left"/>
        <w:rPr>
          <w:rFonts w:ascii="宋体" w:hAnsi="宋体" w:cs="宋体"/>
          <w:sz w:val="24"/>
          <w:szCs w:val="24"/>
        </w:rPr>
      </w:pPr>
      <w:r>
        <w:rPr>
          <w:rFonts w:hint="eastAsia" w:ascii="宋体" w:hAnsi="宋体" w:cs="宋体"/>
          <w:sz w:val="24"/>
          <w:szCs w:val="24"/>
        </w:rPr>
        <w:t>致：_________________</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 xml:space="preserve">                </w:t>
      </w:r>
      <w:r>
        <w:rPr>
          <w:rFonts w:hint="eastAsia" w:ascii="宋体" w:hAnsi="宋体" w:cs="宋体"/>
          <w:sz w:val="24"/>
          <w:szCs w:val="24"/>
        </w:rPr>
        <w:t>（供应商名称）的</w:t>
      </w:r>
      <w:r>
        <w:rPr>
          <w:rFonts w:hint="eastAsia" w:ascii="宋体" w:hAnsi="宋体" w:cs="宋体"/>
          <w:sz w:val="24"/>
          <w:szCs w:val="24"/>
          <w:u w:val="single"/>
        </w:rPr>
        <w:t xml:space="preserve">        </w:t>
      </w:r>
      <w:r>
        <w:rPr>
          <w:rFonts w:hint="eastAsia" w:ascii="宋体" w:hAnsi="宋体" w:cs="宋体"/>
          <w:sz w:val="24"/>
          <w:szCs w:val="24"/>
        </w:rPr>
        <w:t>（法定代表人姓名）授权</w:t>
      </w:r>
      <w:r>
        <w:rPr>
          <w:rFonts w:hint="eastAsia" w:ascii="宋体" w:hAnsi="宋体" w:cs="宋体"/>
          <w:sz w:val="24"/>
          <w:szCs w:val="24"/>
          <w:u w:val="single"/>
        </w:rPr>
        <w:t xml:space="preserve">         </w:t>
      </w:r>
      <w:r>
        <w:rPr>
          <w:rFonts w:hint="eastAsia" w:ascii="宋体" w:hAnsi="宋体" w:cs="宋体"/>
          <w:sz w:val="24"/>
          <w:szCs w:val="24"/>
        </w:rPr>
        <w:t>（被授权人的姓名）为我方就</w:t>
      </w:r>
      <w:r>
        <w:rPr>
          <w:rFonts w:hint="eastAsia" w:ascii="宋体" w:hAnsi="宋体" w:cs="宋体"/>
          <w:sz w:val="24"/>
          <w:szCs w:val="24"/>
          <w:u w:val="single"/>
        </w:rPr>
        <w:t xml:space="preserve">         </w:t>
      </w:r>
      <w:r>
        <w:rPr>
          <w:rFonts w:hint="eastAsia" w:ascii="宋体" w:hAnsi="宋体" w:cs="宋体"/>
          <w:sz w:val="24"/>
          <w:szCs w:val="24"/>
        </w:rPr>
        <w:t>（编号：</w:t>
      </w:r>
      <w:r>
        <w:rPr>
          <w:rFonts w:hint="eastAsia" w:ascii="宋体" w:hAnsi="宋体" w:cs="宋体"/>
          <w:sz w:val="24"/>
          <w:szCs w:val="24"/>
          <w:u w:val="single"/>
        </w:rPr>
        <w:t xml:space="preserve">           </w:t>
      </w:r>
      <w:r>
        <w:rPr>
          <w:rFonts w:hint="eastAsia" w:ascii="宋体" w:hAnsi="宋体" w:cs="宋体"/>
          <w:sz w:val="24"/>
          <w:szCs w:val="24"/>
        </w:rPr>
        <w:t>）项目磋商活动的合法代理人，以我方名义全权处理与该项目磋商、签订合同以及合同执行有关的一切事务。</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特此声明。</w:t>
      </w:r>
    </w:p>
    <w:p>
      <w:pPr>
        <w:spacing w:line="520" w:lineRule="exact"/>
        <w:jc w:val="left"/>
        <w:rPr>
          <w:rFonts w:ascii="宋体" w:hAnsi="宋体" w:cs="宋体"/>
          <w:sz w:val="24"/>
          <w:szCs w:val="24"/>
        </w:rPr>
      </w:pPr>
    </w:p>
    <w:p>
      <w:pPr>
        <w:spacing w:line="520" w:lineRule="exact"/>
        <w:ind w:firstLine="1084" w:firstLineChars="450"/>
        <w:jc w:val="left"/>
        <w:rPr>
          <w:rFonts w:ascii="宋体" w:hAnsi="宋体" w:cs="宋体"/>
          <w:sz w:val="24"/>
          <w:szCs w:val="24"/>
          <w:u w:val="single"/>
        </w:rPr>
      </w:pPr>
      <w:r>
        <w:rPr>
          <w:rFonts w:hint="eastAsia" w:ascii="宋体" w:hAnsi="宋体" w:cs="宋体"/>
          <w:b/>
          <w:bCs/>
          <w:sz w:val="24"/>
          <w:szCs w:val="24"/>
        </w:rPr>
        <w:t>法定代表人签字：</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职    务：</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r>
        <w:rPr>
          <w:rFonts w:hint="eastAsia" w:ascii="宋体" w:hAnsi="宋体" w:cs="宋体"/>
          <w:sz w:val="24"/>
          <w:szCs w:val="24"/>
          <w:u w:val="single"/>
        </w:rPr>
        <w:t xml:space="preserve">                        </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r>
        <w:rPr>
          <w:rFonts w:hint="eastAsia" w:ascii="宋体" w:hAnsi="宋体" w:cs="宋体"/>
          <w:sz w:val="24"/>
          <w:szCs w:val="24"/>
          <w:u w:val="single"/>
        </w:rPr>
        <w:t xml:space="preserve">                         </w:t>
      </w:r>
    </w:p>
    <w:p>
      <w:pPr>
        <w:spacing w:line="520" w:lineRule="exact"/>
        <w:ind w:firstLine="1084" w:firstLineChars="450"/>
        <w:jc w:val="left"/>
        <w:rPr>
          <w:rFonts w:ascii="宋体" w:hAnsi="宋体" w:cs="宋体"/>
          <w:b/>
          <w:bCs/>
          <w:sz w:val="24"/>
          <w:szCs w:val="24"/>
        </w:rPr>
      </w:pPr>
    </w:p>
    <w:p>
      <w:pPr>
        <w:spacing w:line="520" w:lineRule="exact"/>
        <w:ind w:firstLine="1084" w:firstLineChars="450"/>
        <w:jc w:val="left"/>
        <w:rPr>
          <w:rFonts w:ascii="宋体" w:hAnsi="宋体" w:cs="宋体"/>
          <w:sz w:val="24"/>
          <w:szCs w:val="24"/>
        </w:rPr>
      </w:pPr>
      <w:r>
        <w:rPr>
          <w:rFonts w:hint="eastAsia" w:ascii="宋体" w:hAnsi="宋体" w:cs="宋体"/>
          <w:b/>
          <w:bCs/>
          <w:sz w:val="24"/>
          <w:szCs w:val="24"/>
        </w:rPr>
        <w:t>代理人（被授权人）：</w:t>
      </w:r>
      <w:r>
        <w:rPr>
          <w:rFonts w:hint="eastAsia" w:ascii="宋体" w:hAnsi="宋体" w:cs="宋体"/>
          <w:sz w:val="24"/>
          <w:szCs w:val="24"/>
          <w:u w:val="single"/>
        </w:rPr>
        <w:t xml:space="preserve">                     </w:t>
      </w:r>
    </w:p>
    <w:p>
      <w:pPr>
        <w:spacing w:line="520" w:lineRule="exact"/>
        <w:jc w:val="left"/>
        <w:rPr>
          <w:rFonts w:ascii="宋体" w:hAnsi="宋体" w:cs="宋体"/>
          <w:sz w:val="24"/>
          <w:szCs w:val="24"/>
        </w:rPr>
      </w:pPr>
      <w:r>
        <w:rPr>
          <w:rFonts w:hint="eastAsia" w:ascii="宋体" w:hAnsi="宋体" w:cs="宋体"/>
          <w:sz w:val="24"/>
          <w:szCs w:val="24"/>
        </w:rPr>
        <w:t xml:space="preserve">          职    务：</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r>
        <w:rPr>
          <w:rFonts w:hint="eastAsia" w:ascii="宋体" w:hAnsi="宋体" w:cs="宋体"/>
          <w:sz w:val="24"/>
          <w:szCs w:val="24"/>
          <w:u w:val="single"/>
        </w:rPr>
        <w:t xml:space="preserve">                          </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r>
        <w:rPr>
          <w:rFonts w:hint="eastAsia" w:ascii="宋体" w:hAnsi="宋体" w:cs="宋体"/>
          <w:sz w:val="24"/>
          <w:szCs w:val="24"/>
          <w:u w:val="single"/>
        </w:rPr>
        <w:t xml:space="preserve">                          </w:t>
      </w:r>
    </w:p>
    <w:p>
      <w:pPr>
        <w:spacing w:line="520" w:lineRule="exact"/>
        <w:jc w:val="left"/>
        <w:rPr>
          <w:rFonts w:ascii="宋体" w:hAnsi="宋体" w:cs="宋体"/>
          <w:sz w:val="24"/>
          <w:szCs w:val="24"/>
        </w:rPr>
      </w:pPr>
    </w:p>
    <w:p>
      <w:pPr>
        <w:wordWrap w:val="0"/>
        <w:spacing w:line="520" w:lineRule="exact"/>
        <w:jc w:val="right"/>
        <w:rPr>
          <w:rFonts w:ascii="宋体" w:hAnsi="宋体" w:cs="宋体"/>
          <w:sz w:val="24"/>
          <w:szCs w:val="24"/>
        </w:rPr>
      </w:pPr>
      <w:r>
        <w:rPr>
          <w:rFonts w:hint="eastAsia" w:ascii="宋体" w:hAnsi="宋体" w:cs="宋体"/>
          <w:sz w:val="24"/>
          <w:szCs w:val="24"/>
        </w:rPr>
        <w:t xml:space="preserve">                                                      </w:t>
      </w:r>
    </w:p>
    <w:p>
      <w:pPr>
        <w:spacing w:line="520" w:lineRule="exact"/>
        <w:ind w:firstLine="4245" w:firstLineChars="1762"/>
        <w:rPr>
          <w:rFonts w:ascii="宋体" w:hAnsi="宋体" w:cs="宋体"/>
          <w:b/>
          <w:bCs/>
          <w:sz w:val="24"/>
          <w:szCs w:val="24"/>
          <w:u w:val="single"/>
        </w:rPr>
      </w:pPr>
      <w:r>
        <w:rPr>
          <w:rFonts w:hint="eastAsia" w:ascii="宋体" w:hAnsi="宋体" w:cs="宋体"/>
          <w:b/>
          <w:bCs/>
          <w:sz w:val="24"/>
          <w:szCs w:val="24"/>
        </w:rPr>
        <w:t>供应商</w:t>
      </w:r>
      <w:r>
        <w:rPr>
          <w:rFonts w:hint="eastAsia" w:ascii="宋体" w:hAnsi="宋体" w:cs="宋体"/>
          <w:b/>
          <w:bCs/>
          <w:sz w:val="24"/>
          <w:szCs w:val="24"/>
          <w:lang w:eastAsia="zh-CN"/>
        </w:rPr>
        <w:t>盖章</w:t>
      </w:r>
      <w:r>
        <w:rPr>
          <w:rFonts w:hint="eastAsia" w:ascii="宋体" w:hAnsi="宋体" w:cs="宋体"/>
          <w:b/>
          <w:bCs/>
          <w:sz w:val="24"/>
          <w:szCs w:val="24"/>
        </w:rPr>
        <w:t>：</w:t>
      </w:r>
    </w:p>
    <w:p>
      <w:pPr>
        <w:tabs>
          <w:tab w:val="left" w:pos="630"/>
        </w:tabs>
        <w:spacing w:line="520" w:lineRule="exact"/>
        <w:ind w:firstLine="4245" w:firstLineChars="1762"/>
        <w:rPr>
          <w:rFonts w:ascii="宋体" w:hAnsi="宋体" w:cs="宋体"/>
          <w:b/>
          <w:bCs/>
          <w:sz w:val="24"/>
          <w:szCs w:val="24"/>
        </w:rPr>
      </w:pPr>
      <w:r>
        <w:rPr>
          <w:rFonts w:hint="eastAsia" w:ascii="宋体" w:hAnsi="宋体" w:cs="宋体"/>
          <w:b/>
          <w:bCs/>
          <w:sz w:val="24"/>
          <w:szCs w:val="24"/>
        </w:rPr>
        <w:t>日期：</w:t>
      </w:r>
    </w:p>
    <w:p>
      <w:pPr>
        <w:pStyle w:val="3"/>
        <w:adjustRightInd w:val="0"/>
        <w:spacing w:before="0" w:after="0" w:line="520" w:lineRule="exact"/>
        <w:jc w:val="center"/>
        <w:textAlignment w:val="baseline"/>
        <w:rPr>
          <w:rFonts w:hint="eastAsia" w:ascii="宋体" w:hAnsi="宋体" w:eastAsia="宋体" w:cs="宋体"/>
          <w:sz w:val="24"/>
          <w:szCs w:val="24"/>
        </w:rPr>
      </w:pPr>
      <w:bookmarkStart w:id="104" w:name="_Toc17226"/>
      <w:bookmarkStart w:id="105" w:name="_Toc23589"/>
      <w:r>
        <w:rPr>
          <w:rFonts w:hint="eastAsia" w:ascii="宋体" w:hAnsi="宋体" w:eastAsia="宋体" w:cs="宋体"/>
          <w:sz w:val="24"/>
          <w:szCs w:val="24"/>
        </w:rPr>
        <w:br w:type="page"/>
      </w:r>
      <w:bookmarkStart w:id="106" w:name="_Toc17888"/>
    </w:p>
    <w:p>
      <w:pPr>
        <w:pStyle w:val="3"/>
        <w:adjustRightInd w:val="0"/>
        <w:spacing w:before="0" w:after="0" w:line="520" w:lineRule="exact"/>
        <w:jc w:val="center"/>
        <w:textAlignment w:val="baseline"/>
        <w:rPr>
          <w:rFonts w:ascii="宋体" w:hAnsi="宋体" w:eastAsia="宋体" w:cs="宋体"/>
          <w:sz w:val="24"/>
          <w:szCs w:val="24"/>
        </w:rPr>
      </w:pPr>
      <w:r>
        <w:rPr>
          <w:rFonts w:hint="eastAsia" w:ascii="宋体" w:hAnsi="宋体" w:eastAsia="宋体" w:cs="宋体"/>
          <w:sz w:val="24"/>
          <w:szCs w:val="24"/>
          <w:lang w:val="en-US" w:eastAsia="zh-CN"/>
        </w:rPr>
        <w:t>法定代表人身份证明</w:t>
      </w:r>
      <w:r>
        <w:rPr>
          <w:rFonts w:hint="eastAsia" w:ascii="宋体" w:hAnsi="宋体" w:eastAsia="宋体" w:cs="宋体"/>
          <w:sz w:val="24"/>
          <w:szCs w:val="24"/>
        </w:rPr>
        <w:t>书</w:t>
      </w:r>
    </w:p>
    <w:p>
      <w:pPr>
        <w:spacing w:line="520" w:lineRule="exact"/>
        <w:rPr>
          <w:rFonts w:ascii="宋体" w:hAnsi="宋体"/>
          <w:sz w:val="24"/>
          <w:szCs w:val="24"/>
        </w:rPr>
      </w:pPr>
    </w:p>
    <w:p>
      <w:pPr>
        <w:spacing w:line="520" w:lineRule="exact"/>
        <w:jc w:val="left"/>
        <w:rPr>
          <w:rFonts w:ascii="宋体" w:hAnsi="宋体"/>
          <w:sz w:val="24"/>
          <w:szCs w:val="24"/>
        </w:rPr>
      </w:pPr>
      <w:r>
        <w:rPr>
          <w:rFonts w:hint="eastAsia" w:ascii="宋体" w:hAnsi="宋体"/>
          <w:sz w:val="24"/>
          <w:szCs w:val="24"/>
        </w:rPr>
        <w:t>致：_________________</w:t>
      </w:r>
    </w:p>
    <w:p>
      <w:pPr>
        <w:spacing w:line="520" w:lineRule="exact"/>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（供应商名称）的</w:t>
      </w:r>
      <w:r>
        <w:rPr>
          <w:rFonts w:hint="eastAsia" w:ascii="宋体" w:hAnsi="宋体"/>
          <w:sz w:val="24"/>
          <w:szCs w:val="24"/>
          <w:u w:val="single"/>
        </w:rPr>
        <w:t xml:space="preserve">        </w:t>
      </w:r>
      <w:r>
        <w:rPr>
          <w:rFonts w:hint="eastAsia" w:ascii="宋体" w:hAnsi="宋体"/>
          <w:sz w:val="24"/>
          <w:szCs w:val="24"/>
          <w:u w:val="single"/>
          <w:lang w:val="en-US" w:eastAsia="zh-CN"/>
        </w:rPr>
        <w:t>是</w:t>
      </w:r>
      <w:r>
        <w:rPr>
          <w:rFonts w:hint="eastAsia" w:ascii="宋体" w:hAnsi="宋体"/>
          <w:sz w:val="24"/>
          <w:szCs w:val="24"/>
          <w:u w:val="none"/>
          <w:lang w:val="en-US" w:eastAsia="zh-CN"/>
        </w:rPr>
        <w:t>我公司的法定代表人，</w:t>
      </w:r>
      <w:r>
        <w:rPr>
          <w:rFonts w:hint="eastAsia" w:ascii="宋体" w:hAnsi="宋体"/>
          <w:sz w:val="24"/>
          <w:szCs w:val="24"/>
        </w:rPr>
        <w:t>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）项目磋商活动的合法代理人，以我方名义全权处理与该项目磋商、签订合同以及合同执行有关的一切事务。</w:t>
      </w:r>
    </w:p>
    <w:p>
      <w:pPr>
        <w:spacing w:line="520" w:lineRule="exact"/>
        <w:ind w:firstLine="480" w:firstLineChars="200"/>
        <w:jc w:val="left"/>
        <w:rPr>
          <w:rFonts w:ascii="宋体" w:hAnsi="宋体"/>
          <w:sz w:val="24"/>
          <w:szCs w:val="24"/>
        </w:rPr>
      </w:pPr>
      <w:r>
        <w:rPr>
          <w:rFonts w:hint="eastAsia" w:ascii="宋体" w:hAnsi="宋体"/>
          <w:sz w:val="24"/>
          <w:szCs w:val="24"/>
        </w:rPr>
        <w:t>特此声明。</w:t>
      </w:r>
    </w:p>
    <w:p>
      <w:pPr>
        <w:spacing w:line="520" w:lineRule="exact"/>
        <w:jc w:val="left"/>
        <w:rPr>
          <w:rFonts w:ascii="宋体" w:hAnsi="宋体"/>
          <w:sz w:val="24"/>
          <w:szCs w:val="24"/>
        </w:rPr>
      </w:pPr>
    </w:p>
    <w:p>
      <w:pPr>
        <w:spacing w:line="520" w:lineRule="exact"/>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520" w:lineRule="exact"/>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520" w:lineRule="exact"/>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520" w:lineRule="exact"/>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520" w:lineRule="exact"/>
        <w:jc w:val="left"/>
        <w:rPr>
          <w:rFonts w:ascii="宋体" w:hAnsi="宋体"/>
          <w:sz w:val="24"/>
          <w:szCs w:val="24"/>
        </w:rPr>
      </w:pPr>
    </w:p>
    <w:p>
      <w:pPr>
        <w:wordWrap w:val="0"/>
        <w:spacing w:line="520" w:lineRule="exact"/>
        <w:jc w:val="right"/>
        <w:rPr>
          <w:rFonts w:ascii="宋体" w:hAnsi="宋体"/>
          <w:sz w:val="24"/>
          <w:szCs w:val="24"/>
        </w:rPr>
      </w:pPr>
      <w:r>
        <w:rPr>
          <w:rFonts w:hint="eastAsia" w:ascii="宋体" w:hAnsi="宋体"/>
          <w:sz w:val="24"/>
          <w:szCs w:val="24"/>
        </w:rPr>
        <w:t xml:space="preserve">                                                      </w:t>
      </w:r>
    </w:p>
    <w:p>
      <w:pPr>
        <w:spacing w:line="520" w:lineRule="exact"/>
        <w:jc w:val="center"/>
        <w:rPr>
          <w:rFonts w:ascii="宋体" w:hAnsi="宋体"/>
          <w:b/>
          <w:bCs/>
          <w:sz w:val="24"/>
          <w:szCs w:val="24"/>
          <w:u w:val="single"/>
        </w:rPr>
      </w:pPr>
      <w:r>
        <w:rPr>
          <w:rFonts w:hint="eastAsia" w:ascii="宋体" w:hAnsi="宋体"/>
          <w:b/>
          <w:bCs/>
          <w:sz w:val="24"/>
          <w:szCs w:val="24"/>
        </w:rPr>
        <w:t>供应商</w:t>
      </w:r>
      <w:r>
        <w:rPr>
          <w:rFonts w:hint="eastAsia" w:ascii="宋体" w:hAnsi="宋体"/>
          <w:b/>
          <w:bCs/>
          <w:sz w:val="24"/>
          <w:szCs w:val="24"/>
          <w:lang w:val="en-US" w:eastAsia="zh-CN"/>
        </w:rPr>
        <w:t>盖章</w:t>
      </w:r>
      <w:r>
        <w:rPr>
          <w:rFonts w:hint="eastAsia" w:ascii="宋体" w:hAnsi="宋体"/>
          <w:b/>
          <w:bCs/>
          <w:sz w:val="24"/>
          <w:szCs w:val="24"/>
        </w:rPr>
        <w:t>：</w:t>
      </w:r>
    </w:p>
    <w:p>
      <w:pPr>
        <w:ind w:firstLine="3855" w:firstLineChars="1600"/>
        <w:jc w:val="both"/>
        <w:rPr>
          <w:rFonts w:hint="eastAsia" w:ascii="宋体" w:hAnsi="宋体" w:eastAsia="宋体" w:cs="宋体"/>
          <w:sz w:val="24"/>
          <w:szCs w:val="24"/>
        </w:rPr>
      </w:pPr>
      <w:r>
        <w:rPr>
          <w:rFonts w:hint="eastAsia" w:ascii="宋体" w:hAnsi="宋体"/>
          <w:b/>
          <w:bCs/>
          <w:sz w:val="24"/>
          <w:szCs w:val="24"/>
        </w:rPr>
        <w:t>日期：</w:t>
      </w:r>
      <w:r>
        <w:rPr>
          <w:rFonts w:hint="eastAsia" w:ascii="宋体" w:hAnsi="宋体" w:eastAsia="宋体" w:cs="宋体"/>
          <w:sz w:val="24"/>
          <w:szCs w:val="24"/>
        </w:rPr>
        <w:br w:type="page"/>
      </w:r>
    </w:p>
    <w:p>
      <w:pPr>
        <w:pStyle w:val="3"/>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104"/>
      <w:bookmarkEnd w:id="105"/>
      <w:bookmarkEnd w:id="106"/>
    </w:p>
    <w:p>
      <w:pPr>
        <w:pStyle w:val="3"/>
        <w:spacing w:before="0" w:after="156" w:afterLines="50" w:line="560" w:lineRule="exact"/>
        <w:jc w:val="center"/>
        <w:rPr>
          <w:rFonts w:ascii="宋体" w:hAnsi="宋体" w:eastAsia="宋体" w:cs="宋体"/>
          <w:sz w:val="24"/>
          <w:szCs w:val="24"/>
        </w:rPr>
      </w:pPr>
      <w:bookmarkStart w:id="107" w:name="_Toc28665"/>
      <w:bookmarkStart w:id="108" w:name="_Toc6278"/>
      <w:bookmarkStart w:id="109" w:name="_Toc29263"/>
      <w:bookmarkStart w:id="110" w:name="_Toc417045478"/>
      <w:r>
        <w:rPr>
          <w:rFonts w:hint="eastAsia" w:ascii="宋体" w:hAnsi="宋体" w:eastAsia="宋体" w:cs="宋体"/>
          <w:sz w:val="24"/>
          <w:szCs w:val="24"/>
        </w:rPr>
        <w:t>磋商响应函</w:t>
      </w:r>
      <w:bookmarkEnd w:id="107"/>
      <w:bookmarkEnd w:id="108"/>
      <w:bookmarkEnd w:id="109"/>
    </w:p>
    <w:p>
      <w:pPr>
        <w:spacing w:line="360" w:lineRule="auto"/>
        <w:rPr>
          <w:rFonts w:ascii="宋体" w:hAnsi="宋体" w:cs="宋体"/>
          <w:sz w:val="24"/>
          <w:szCs w:val="24"/>
        </w:rPr>
      </w:pPr>
      <w:r>
        <w:rPr>
          <w:rFonts w:hint="eastAsia" w:ascii="宋体" w:hAnsi="宋体" w:cs="宋体"/>
          <w:sz w:val="24"/>
          <w:szCs w:val="24"/>
        </w:rPr>
        <w:t>致：XXX（</w:t>
      </w:r>
      <w:r>
        <w:rPr>
          <w:rFonts w:hint="eastAsia" w:ascii="宋体" w:hAnsi="宋体" w:cs="宋体"/>
          <w:sz w:val="24"/>
          <w:szCs w:val="24"/>
          <w:lang w:val="en-US" w:eastAsia="zh-CN"/>
        </w:rPr>
        <w:t>采购人</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1、根据项目编号：</w:t>
      </w:r>
      <w:r>
        <w:rPr>
          <w:rFonts w:hint="eastAsia" w:ascii="宋体" w:hAnsi="宋体" w:cs="宋体"/>
          <w:sz w:val="24"/>
          <w:szCs w:val="24"/>
          <w:u w:val="single"/>
        </w:rPr>
        <w:t xml:space="preserve">       </w:t>
      </w:r>
      <w:r>
        <w:rPr>
          <w:rFonts w:hint="eastAsia" w:ascii="宋体" w:hAnsi="宋体" w:cs="宋体"/>
          <w:sz w:val="24"/>
          <w:szCs w:val="24"/>
        </w:rPr>
        <w:t>号磋商公告的内容，我方决定参加贵方组织的“</w:t>
      </w:r>
      <w:r>
        <w:rPr>
          <w:rFonts w:hint="eastAsia" w:ascii="宋体" w:hAnsi="宋体" w:cs="宋体"/>
          <w:sz w:val="24"/>
          <w:szCs w:val="24"/>
          <w:u w:val="single"/>
        </w:rPr>
        <w:t xml:space="preserve">                 </w:t>
      </w:r>
      <w:r>
        <w:rPr>
          <w:rFonts w:hint="eastAsia" w:ascii="宋体" w:hAnsi="宋体" w:cs="宋体"/>
          <w:sz w:val="24"/>
          <w:szCs w:val="24"/>
        </w:rPr>
        <w:t>”项目的竞争性磋商采购。我方授权</w:t>
      </w:r>
      <w:r>
        <w:rPr>
          <w:rFonts w:hint="eastAsia" w:ascii="宋体" w:hAnsi="宋体" w:cs="宋体"/>
          <w:sz w:val="24"/>
          <w:szCs w:val="24"/>
          <w:u w:val="single"/>
        </w:rPr>
        <w:t xml:space="preserve">         </w:t>
      </w:r>
      <w:r>
        <w:rPr>
          <w:rFonts w:hint="eastAsia" w:ascii="宋体" w:hAnsi="宋体" w:cs="宋体"/>
          <w:sz w:val="24"/>
          <w:szCs w:val="24"/>
        </w:rPr>
        <w:t>(姓名)代表我方</w:t>
      </w:r>
      <w:r>
        <w:rPr>
          <w:rFonts w:hint="eastAsia" w:ascii="宋体" w:hAnsi="宋体" w:cs="宋体"/>
          <w:sz w:val="24"/>
          <w:szCs w:val="24"/>
          <w:u w:val="single"/>
        </w:rPr>
        <w:t xml:space="preserve">           </w:t>
      </w:r>
      <w:r>
        <w:rPr>
          <w:rFonts w:hint="eastAsia" w:ascii="宋体" w:hAnsi="宋体" w:cs="宋体"/>
          <w:sz w:val="24"/>
          <w:szCs w:val="24"/>
        </w:rPr>
        <w:t>（磋商单位的名称）全权处理本项目磋商的有关事宜。</w:t>
      </w:r>
    </w:p>
    <w:p>
      <w:pPr>
        <w:spacing w:line="360" w:lineRule="auto"/>
        <w:ind w:firstLine="480" w:firstLineChars="200"/>
        <w:rPr>
          <w:rFonts w:ascii="宋体" w:hAnsi="宋体" w:cs="宋体"/>
          <w:sz w:val="24"/>
          <w:szCs w:val="24"/>
        </w:rPr>
      </w:pPr>
      <w:r>
        <w:rPr>
          <w:rFonts w:hint="eastAsia" w:ascii="宋体" w:hAnsi="宋体" w:cs="宋体"/>
          <w:sz w:val="24"/>
          <w:szCs w:val="24"/>
        </w:rPr>
        <w:t>2、我方愿意按照磋商文件规定的各项要求，向采购人提供所需的服务。</w:t>
      </w:r>
    </w:p>
    <w:p>
      <w:pPr>
        <w:spacing w:line="360" w:lineRule="auto"/>
        <w:ind w:firstLine="480" w:firstLineChars="200"/>
        <w:rPr>
          <w:rFonts w:ascii="宋体" w:hAnsi="宋体" w:cs="宋体"/>
          <w:sz w:val="24"/>
          <w:szCs w:val="24"/>
        </w:rPr>
      </w:pPr>
      <w:r>
        <w:rPr>
          <w:rFonts w:hint="eastAsia" w:ascii="宋体" w:hAnsi="宋体" w:cs="宋体"/>
          <w:sz w:val="24"/>
          <w:szCs w:val="24"/>
        </w:rPr>
        <w:t>3、一旦我方成交，我方将严格履行合同规定的责任和义务，保证于采购人要求的日期内完成项目的全部内容，并交付采购人验收、使用。</w:t>
      </w:r>
    </w:p>
    <w:p>
      <w:pPr>
        <w:spacing w:line="360" w:lineRule="auto"/>
        <w:ind w:firstLine="480" w:firstLineChars="200"/>
        <w:rPr>
          <w:rFonts w:ascii="宋体" w:hAnsi="宋体" w:cs="宋体"/>
          <w:sz w:val="24"/>
          <w:szCs w:val="24"/>
        </w:rPr>
      </w:pPr>
      <w:r>
        <w:rPr>
          <w:rFonts w:hint="eastAsia" w:ascii="宋体" w:hAnsi="宋体" w:cs="宋体"/>
          <w:sz w:val="24"/>
          <w:szCs w:val="24"/>
        </w:rPr>
        <w:t>4、如我公司成交，我公司承诺愿意按磋商文件规定缴纳履约保证金。</w:t>
      </w:r>
    </w:p>
    <w:p>
      <w:pPr>
        <w:tabs>
          <w:tab w:val="left" w:pos="840"/>
        </w:tabs>
        <w:spacing w:line="360" w:lineRule="auto"/>
        <w:ind w:firstLine="480" w:firstLineChars="200"/>
        <w:rPr>
          <w:rFonts w:ascii="宋体" w:hAnsi="宋体" w:cs="宋体"/>
          <w:sz w:val="24"/>
          <w:szCs w:val="24"/>
        </w:rPr>
      </w:pPr>
      <w:r>
        <w:rPr>
          <w:rFonts w:hint="eastAsia" w:ascii="宋体" w:hAnsi="宋体" w:cs="宋体"/>
          <w:sz w:val="24"/>
          <w:szCs w:val="24"/>
        </w:rPr>
        <w:t>5、我方愿意提供贵方可能另外要求的、与磋商有关的文件资料，并保证我方已提供和将要提供的文件是真实的、准确的。</w:t>
      </w:r>
    </w:p>
    <w:p>
      <w:pPr>
        <w:tabs>
          <w:tab w:val="left" w:pos="0"/>
          <w:tab w:val="left" w:pos="840"/>
        </w:tabs>
        <w:spacing w:line="360" w:lineRule="auto"/>
        <w:ind w:firstLine="480" w:firstLineChars="200"/>
        <w:rPr>
          <w:rFonts w:ascii="宋体" w:hAnsi="宋体" w:cs="宋体"/>
          <w:sz w:val="24"/>
          <w:szCs w:val="24"/>
        </w:rPr>
      </w:pPr>
      <w:r>
        <w:rPr>
          <w:rFonts w:hint="eastAsia" w:ascii="宋体" w:hAnsi="宋体" w:cs="宋体"/>
          <w:sz w:val="24"/>
          <w:szCs w:val="24"/>
        </w:rPr>
        <w:t>6、我方完全理解贵方不一定将合同授予最低报价的供应商。</w:t>
      </w:r>
    </w:p>
    <w:p>
      <w:pPr>
        <w:tabs>
          <w:tab w:val="left" w:pos="0"/>
          <w:tab w:val="left" w:pos="840"/>
        </w:tabs>
        <w:spacing w:line="360" w:lineRule="auto"/>
        <w:jc w:val="left"/>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spacing w:line="360" w:lineRule="auto"/>
        <w:ind w:firstLine="4245" w:firstLineChars="1762"/>
        <w:rPr>
          <w:rFonts w:ascii="宋体" w:hAnsi="宋体" w:cs="宋体"/>
          <w:b/>
          <w:bCs/>
          <w:sz w:val="24"/>
          <w:szCs w:val="24"/>
          <w:u w:val="single"/>
        </w:rPr>
      </w:pPr>
      <w:r>
        <w:rPr>
          <w:rFonts w:hint="eastAsia" w:ascii="宋体" w:hAnsi="宋体" w:cs="宋体"/>
          <w:b/>
          <w:bCs/>
          <w:sz w:val="24"/>
          <w:szCs w:val="24"/>
        </w:rPr>
        <w:t>供应商</w:t>
      </w:r>
      <w:r>
        <w:rPr>
          <w:rFonts w:hint="eastAsia" w:ascii="宋体" w:hAnsi="宋体" w:cs="宋体"/>
          <w:b/>
          <w:bCs/>
          <w:sz w:val="24"/>
          <w:szCs w:val="24"/>
          <w:lang w:eastAsia="zh-CN"/>
        </w:rPr>
        <w:t>盖章</w:t>
      </w:r>
      <w:r>
        <w:rPr>
          <w:rFonts w:hint="eastAsia" w:ascii="宋体" w:hAnsi="宋体" w:cs="宋体"/>
          <w:b/>
          <w:bCs/>
          <w:sz w:val="24"/>
          <w:szCs w:val="24"/>
        </w:rPr>
        <w:t>：</w:t>
      </w:r>
    </w:p>
    <w:p>
      <w:pPr>
        <w:tabs>
          <w:tab w:val="left" w:pos="630"/>
        </w:tabs>
        <w:spacing w:line="360" w:lineRule="auto"/>
        <w:ind w:firstLine="4245" w:firstLineChars="1762"/>
        <w:rPr>
          <w:rFonts w:ascii="宋体" w:hAnsi="宋体" w:cs="宋体"/>
          <w:b/>
          <w:bCs/>
          <w:sz w:val="24"/>
          <w:szCs w:val="24"/>
        </w:rPr>
      </w:pPr>
      <w:r>
        <w:rPr>
          <w:rFonts w:hint="eastAsia" w:ascii="宋体" w:hAnsi="宋体" w:cs="宋体"/>
          <w:b/>
          <w:bCs/>
          <w:sz w:val="24"/>
          <w:szCs w:val="24"/>
        </w:rPr>
        <w:t>日期：</w:t>
      </w:r>
    </w:p>
    <w:p>
      <w:pPr>
        <w:pStyle w:val="3"/>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111" w:name="_Toc16627"/>
      <w:bookmarkStart w:id="112" w:name="_Toc30354"/>
      <w:bookmarkStart w:id="113" w:name="_Toc21593"/>
      <w:r>
        <w:rPr>
          <w:rFonts w:hint="eastAsia" w:ascii="宋体" w:hAnsi="宋体" w:eastAsia="宋体" w:cs="宋体"/>
          <w:sz w:val="24"/>
          <w:szCs w:val="24"/>
        </w:rPr>
        <w:t>附件</w:t>
      </w:r>
      <w:bookmarkEnd w:id="110"/>
      <w:r>
        <w:rPr>
          <w:rFonts w:hint="eastAsia" w:ascii="宋体" w:hAnsi="宋体" w:eastAsia="宋体" w:cs="宋体"/>
          <w:sz w:val="24"/>
          <w:szCs w:val="24"/>
        </w:rPr>
        <w:t>五</w:t>
      </w:r>
      <w:bookmarkEnd w:id="111"/>
      <w:bookmarkEnd w:id="112"/>
      <w:bookmarkEnd w:id="113"/>
    </w:p>
    <w:p>
      <w:pPr>
        <w:pStyle w:val="33"/>
        <w:ind w:firstLine="281"/>
        <w:rPr>
          <w:b/>
          <w:sz w:val="28"/>
          <w:szCs w:val="28"/>
        </w:rPr>
      </w:pPr>
      <w:bookmarkStart w:id="114" w:name="_Toc26949"/>
      <w:bookmarkStart w:id="115" w:name="_Toc26881"/>
      <w:bookmarkStart w:id="116" w:name="_Toc10256"/>
    </w:p>
    <w:p>
      <w:pPr>
        <w:pStyle w:val="33"/>
        <w:ind w:firstLine="2891" w:firstLineChars="1200"/>
        <w:rPr>
          <w:rFonts w:ascii="宋体" w:hAnsi="宋体" w:cs="宋体"/>
          <w:b/>
          <w:szCs w:val="24"/>
          <w:lang w:val="zh-CN"/>
        </w:rPr>
      </w:pPr>
      <w:bookmarkStart w:id="117" w:name="_Hlk77793942"/>
      <w:r>
        <w:rPr>
          <w:rFonts w:hint="eastAsia" w:ascii="宋体" w:hAnsi="宋体" w:cs="宋体"/>
          <w:b/>
          <w:szCs w:val="24"/>
          <w:lang w:val="zh-CN"/>
        </w:rPr>
        <w:t>无重大违法记录声明函</w:t>
      </w:r>
    </w:p>
    <w:p>
      <w:pPr>
        <w:pStyle w:val="33"/>
        <w:ind w:firstLine="480" w:firstLineChars="200"/>
        <w:rPr>
          <w:rFonts w:ascii="宋体" w:hAnsi="宋体"/>
          <w:szCs w:val="24"/>
        </w:rPr>
      </w:pPr>
      <w:bookmarkStart w:id="118" w:name="_Hlk77793969"/>
      <w:r>
        <w:rPr>
          <w:rFonts w:hint="eastAsia" w:ascii="宋体" w:hAnsi="宋体"/>
          <w:szCs w:val="24"/>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w:t>
      </w:r>
      <w:r>
        <w:rPr>
          <w:rFonts w:hint="eastAsia" w:ascii="宋体" w:hAnsi="宋体"/>
          <w:bCs/>
          <w:sz w:val="24"/>
          <w:szCs w:val="24"/>
          <w:lang w:eastAsia="zh-CN"/>
        </w:rPr>
        <w:t>盖章</w:t>
      </w:r>
      <w:r>
        <w:rPr>
          <w:rFonts w:hint="eastAsia" w:ascii="宋体" w:hAnsi="宋体"/>
          <w:bCs/>
          <w:sz w:val="24"/>
          <w:szCs w:val="24"/>
        </w:rPr>
        <w:t>：</w:t>
      </w:r>
    </w:p>
    <w:p>
      <w:pPr>
        <w:tabs>
          <w:tab w:val="left" w:pos="630"/>
        </w:tabs>
        <w:spacing w:line="360" w:lineRule="auto"/>
        <w:ind w:firstLine="5428" w:firstLineChars="2262"/>
        <w:rPr>
          <w:rFonts w:ascii="宋体" w:hAnsi="宋体"/>
          <w:bCs/>
          <w:sz w:val="24"/>
          <w:szCs w:val="24"/>
          <w:lang w:val="zh-CN"/>
        </w:rPr>
      </w:pPr>
      <w:r>
        <w:rPr>
          <w:rFonts w:hint="eastAsia" w:ascii="宋体" w:hAnsi="宋体"/>
          <w:bCs/>
          <w:sz w:val="24"/>
          <w:szCs w:val="24"/>
        </w:rPr>
        <w:t>日期：</w:t>
      </w:r>
    </w:p>
    <w:bookmarkEnd w:id="118"/>
    <w:p>
      <w:pPr>
        <w:pStyle w:val="33"/>
        <w:ind w:firstLine="210"/>
      </w:pPr>
    </w:p>
    <w:p>
      <w:pPr>
        <w:pStyle w:val="33"/>
        <w:ind w:firstLine="210"/>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bookmarkStart w:id="119" w:name="_Hlk77794010"/>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color w:val="000000" w:themeColor="text1"/>
          <w:sz w:val="24"/>
          <w:szCs w:val="24"/>
          <w14:textFill>
            <w14:solidFill>
              <w14:schemeClr w14:val="tx1"/>
            </w14:solidFill>
          </w14:textFill>
        </w:rPr>
        <w:t>2、</w:t>
      </w:r>
      <w:r>
        <w:rPr>
          <w:rFonts w:hint="eastAsia" w:ascii="宋体" w:hAnsi="宋体"/>
          <w:sz w:val="24"/>
          <w:szCs w:val="24"/>
        </w:rPr>
        <w:t>公司被市场监督管理部门列入企业经营异常名录；</w:t>
      </w:r>
    </w:p>
    <w:p>
      <w:pPr>
        <w:spacing w:line="360" w:lineRule="auto"/>
        <w:ind w:firstLine="435"/>
        <w:rPr>
          <w:rFonts w:ascii="宋体" w:hAnsi="宋体"/>
          <w:sz w:val="24"/>
          <w:szCs w:val="24"/>
        </w:rPr>
      </w:pPr>
      <w:r>
        <w:rPr>
          <w:rFonts w:hint="eastAsia" w:ascii="宋体" w:hAnsi="宋体"/>
          <w:sz w:val="24"/>
          <w:szCs w:val="24"/>
        </w:rPr>
        <w:t>3、公司被税务部门列入重大税收违法案件当事人名单的；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4、公司被政府采购监管部门列入政府采购严重违法失信行为记录名单。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w:t>
      </w:r>
      <w:r>
        <w:rPr>
          <w:rFonts w:hint="eastAsia" w:ascii="宋体" w:hAnsi="宋体"/>
          <w:bCs/>
          <w:sz w:val="24"/>
          <w:szCs w:val="24"/>
          <w:lang w:eastAsia="zh-CN"/>
        </w:rPr>
        <w:t>盖章</w:t>
      </w:r>
      <w:r>
        <w:rPr>
          <w:rFonts w:hint="eastAsia" w:ascii="宋体" w:hAnsi="宋体"/>
          <w:bCs/>
          <w:sz w:val="24"/>
          <w:szCs w:val="24"/>
        </w:rPr>
        <w:t>：</w:t>
      </w:r>
    </w:p>
    <w:p>
      <w:pPr>
        <w:tabs>
          <w:tab w:val="left" w:pos="630"/>
        </w:tabs>
        <w:spacing w:line="360" w:lineRule="auto"/>
        <w:ind w:firstLine="5428" w:firstLineChars="2262"/>
        <w:rPr>
          <w:rFonts w:ascii="宋体" w:hAnsi="宋体"/>
          <w:bCs/>
          <w:sz w:val="24"/>
          <w:szCs w:val="24"/>
          <w:u w:val="single"/>
        </w:rPr>
      </w:pPr>
      <w:r>
        <w:rPr>
          <w:rFonts w:hint="eastAsia" w:ascii="宋体" w:hAnsi="宋体"/>
          <w:bCs/>
          <w:sz w:val="24"/>
          <w:szCs w:val="24"/>
        </w:rPr>
        <w:t>日期：</w:t>
      </w:r>
      <w:bookmarkEnd w:id="114"/>
      <w:bookmarkEnd w:id="115"/>
      <w:bookmarkEnd w:id="116"/>
      <w:bookmarkEnd w:id="117"/>
      <w:bookmarkEnd w:id="119"/>
      <w:bookmarkStart w:id="120" w:name="_Toc363199274"/>
      <w:r>
        <w:rPr>
          <w:rFonts w:hint="eastAsia" w:ascii="宋体" w:hAnsi="宋体" w:cs="宋体"/>
          <w:sz w:val="24"/>
          <w:szCs w:val="24"/>
        </w:rPr>
        <w:br w:type="page"/>
      </w:r>
      <w:bookmarkStart w:id="121" w:name="_Toc18709"/>
      <w:bookmarkStart w:id="122" w:name="_Toc17797"/>
      <w:bookmarkStart w:id="123" w:name="_Toc20743"/>
      <w:r>
        <w:rPr>
          <w:rFonts w:hint="eastAsia" w:ascii="宋体" w:hAnsi="宋体" w:cs="宋体"/>
          <w:sz w:val="24"/>
          <w:szCs w:val="24"/>
        </w:rPr>
        <w:t>附件</w:t>
      </w:r>
      <w:bookmarkEnd w:id="120"/>
      <w:r>
        <w:rPr>
          <w:rFonts w:hint="eastAsia" w:ascii="宋体" w:hAnsi="宋体" w:cs="宋体"/>
          <w:sz w:val="24"/>
          <w:szCs w:val="24"/>
        </w:rPr>
        <w:t>六</w:t>
      </w:r>
      <w:bookmarkEnd w:id="121"/>
      <w:bookmarkEnd w:id="122"/>
      <w:bookmarkEnd w:id="123"/>
    </w:p>
    <w:p>
      <w:pPr>
        <w:pStyle w:val="3"/>
        <w:spacing w:before="0" w:after="0" w:line="560" w:lineRule="exact"/>
        <w:jc w:val="center"/>
        <w:rPr>
          <w:rFonts w:ascii="宋体" w:hAnsi="宋体" w:eastAsia="宋体" w:cs="宋体"/>
          <w:sz w:val="24"/>
          <w:szCs w:val="24"/>
          <w:lang w:val="zh-CN"/>
        </w:rPr>
      </w:pPr>
      <w:bookmarkStart w:id="124" w:name="_Toc18402"/>
      <w:bookmarkStart w:id="125" w:name="_Toc30075"/>
      <w:bookmarkStart w:id="126" w:name="_Toc25238"/>
      <w:r>
        <w:rPr>
          <w:rFonts w:hint="eastAsia" w:ascii="宋体" w:hAnsi="宋体" w:eastAsia="宋体" w:cs="宋体"/>
          <w:sz w:val="24"/>
          <w:szCs w:val="24"/>
          <w:lang w:val="zh-CN"/>
        </w:rPr>
        <w:t>响应情况表</w:t>
      </w:r>
      <w:bookmarkEnd w:id="124"/>
      <w:bookmarkEnd w:id="125"/>
      <w:bookmarkEnd w:id="126"/>
    </w:p>
    <w:p>
      <w:pPr>
        <w:jc w:val="center"/>
        <w:rPr>
          <w:rFonts w:ascii="宋体" w:hAnsi="宋体" w:cs="宋体"/>
          <w:bCs/>
          <w:sz w:val="24"/>
          <w:szCs w:val="24"/>
          <w:lang w:val="zh-CN"/>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jc w:val="center"/>
              <w:rPr>
                <w:rFonts w:ascii="宋体" w:hAnsi="宋体" w:cs="宋体"/>
                <w:b/>
                <w:sz w:val="24"/>
                <w:szCs w:val="21"/>
              </w:rPr>
            </w:pPr>
            <w:bookmarkStart w:id="127" w:name="_Toc471299110"/>
            <w:r>
              <w:rPr>
                <w:rFonts w:hint="eastAsia" w:ascii="宋体" w:hAnsi="宋体" w:cs="宋体"/>
                <w:b/>
                <w:sz w:val="24"/>
                <w:szCs w:val="21"/>
              </w:rPr>
              <w:t>按磋商文件规定填写</w:t>
            </w:r>
          </w:p>
        </w:tc>
        <w:tc>
          <w:tcPr>
            <w:tcW w:w="4200" w:type="dxa"/>
            <w:gridSpan w:val="2"/>
            <w:vAlign w:val="center"/>
          </w:tcPr>
          <w:p>
            <w:pPr>
              <w:jc w:val="center"/>
              <w:rPr>
                <w:rFonts w:ascii="宋体" w:hAnsi="宋体" w:cs="宋体"/>
                <w:b/>
                <w:sz w:val="24"/>
                <w:szCs w:val="21"/>
              </w:rPr>
            </w:pPr>
            <w:r>
              <w:rPr>
                <w:rFonts w:hint="eastAsia" w:ascii="宋体" w:hAnsi="宋体" w:cs="宋体"/>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jc w:val="center"/>
              <w:rPr>
                <w:rFonts w:ascii="宋体" w:hAnsi="宋体" w:cs="宋体"/>
                <w:b/>
                <w:sz w:val="24"/>
                <w:szCs w:val="21"/>
              </w:rPr>
            </w:pPr>
            <w:r>
              <w:rPr>
                <w:rFonts w:hint="eastAsia" w:ascii="宋体" w:hAnsi="宋体" w:cs="宋体"/>
                <w:b/>
                <w:sz w:val="24"/>
                <w:szCs w:val="21"/>
              </w:rPr>
              <w:t>序号</w:t>
            </w:r>
          </w:p>
        </w:tc>
        <w:tc>
          <w:tcPr>
            <w:tcW w:w="1794" w:type="dxa"/>
            <w:vAlign w:val="center"/>
          </w:tcPr>
          <w:p>
            <w:pPr>
              <w:jc w:val="center"/>
              <w:rPr>
                <w:rFonts w:ascii="宋体" w:hAnsi="宋体" w:cs="宋体"/>
                <w:b/>
                <w:sz w:val="24"/>
                <w:szCs w:val="21"/>
              </w:rPr>
            </w:pPr>
            <w:r>
              <w:rPr>
                <w:rFonts w:hint="eastAsia" w:ascii="宋体" w:hAnsi="宋体" w:cs="宋体"/>
                <w:b/>
                <w:sz w:val="24"/>
                <w:szCs w:val="21"/>
              </w:rPr>
              <w:t>内容</w:t>
            </w:r>
          </w:p>
        </w:tc>
        <w:tc>
          <w:tcPr>
            <w:tcW w:w="2196" w:type="dxa"/>
            <w:vAlign w:val="center"/>
          </w:tcPr>
          <w:p>
            <w:pPr>
              <w:jc w:val="center"/>
              <w:rPr>
                <w:rFonts w:ascii="宋体" w:hAnsi="宋体" w:cs="宋体"/>
                <w:b/>
                <w:sz w:val="24"/>
                <w:szCs w:val="21"/>
              </w:rPr>
            </w:pPr>
            <w:r>
              <w:rPr>
                <w:rFonts w:hint="eastAsia" w:ascii="宋体" w:hAnsi="宋体" w:cs="宋体"/>
                <w:b/>
                <w:sz w:val="24"/>
                <w:szCs w:val="21"/>
              </w:rPr>
              <w:t>磋商文件要求</w:t>
            </w:r>
          </w:p>
        </w:tc>
        <w:tc>
          <w:tcPr>
            <w:tcW w:w="2222" w:type="dxa"/>
            <w:vAlign w:val="center"/>
          </w:tcPr>
          <w:p>
            <w:pPr>
              <w:jc w:val="center"/>
              <w:rPr>
                <w:rFonts w:ascii="宋体" w:hAnsi="宋体" w:cs="宋体"/>
                <w:b/>
                <w:sz w:val="24"/>
                <w:szCs w:val="21"/>
              </w:rPr>
            </w:pPr>
            <w:r>
              <w:rPr>
                <w:rFonts w:hint="eastAsia" w:ascii="宋体" w:hAnsi="宋体" w:cs="宋体"/>
                <w:b/>
                <w:sz w:val="24"/>
                <w:szCs w:val="21"/>
              </w:rPr>
              <w:t>响应承诺</w:t>
            </w:r>
          </w:p>
        </w:tc>
        <w:tc>
          <w:tcPr>
            <w:tcW w:w="1978" w:type="dxa"/>
            <w:vAlign w:val="center"/>
          </w:tcPr>
          <w:p>
            <w:pPr>
              <w:jc w:val="center"/>
              <w:rPr>
                <w:rFonts w:ascii="宋体" w:hAnsi="宋体" w:cs="宋体"/>
                <w:b/>
                <w:sz w:val="24"/>
                <w:szCs w:val="21"/>
              </w:rPr>
            </w:pPr>
            <w:r>
              <w:rPr>
                <w:rFonts w:hint="eastAsia" w:ascii="宋体" w:hAnsi="宋体" w:cs="宋体"/>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794" w:type="dxa"/>
            <w:vAlign w:val="center"/>
          </w:tcPr>
          <w:p>
            <w:pPr>
              <w:jc w:val="center"/>
              <w:rPr>
                <w:rFonts w:ascii="宋体" w:hAnsi="宋体" w:cs="宋体"/>
                <w:sz w:val="24"/>
                <w:szCs w:val="24"/>
              </w:rPr>
            </w:pPr>
            <w:r>
              <w:rPr>
                <w:rFonts w:hint="eastAsia" w:ascii="宋体" w:hAnsi="宋体" w:cs="宋体"/>
                <w:sz w:val="24"/>
                <w:szCs w:val="28"/>
              </w:rPr>
              <w:t>技术响应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794" w:type="dxa"/>
            <w:vAlign w:val="center"/>
          </w:tcPr>
          <w:p>
            <w:pPr>
              <w:jc w:val="center"/>
              <w:rPr>
                <w:rFonts w:ascii="宋体" w:hAnsi="宋体" w:cs="宋体"/>
                <w:sz w:val="24"/>
                <w:szCs w:val="24"/>
              </w:rPr>
            </w:pPr>
            <w:r>
              <w:rPr>
                <w:rFonts w:hint="eastAsia" w:ascii="宋体" w:hAnsi="宋体" w:cs="宋体"/>
                <w:sz w:val="24"/>
                <w:szCs w:val="28"/>
              </w:rPr>
              <w:t>付款响应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794" w:type="dxa"/>
            <w:vAlign w:val="center"/>
          </w:tcPr>
          <w:p>
            <w:pPr>
              <w:jc w:val="center"/>
              <w:rPr>
                <w:rFonts w:ascii="宋体" w:hAnsi="宋体" w:cs="宋体"/>
                <w:sz w:val="24"/>
                <w:szCs w:val="24"/>
              </w:rPr>
            </w:pPr>
            <w:r>
              <w:rPr>
                <w:rFonts w:hint="eastAsia" w:ascii="宋体" w:hAnsi="宋体" w:cs="宋体"/>
                <w:sz w:val="24"/>
                <w:szCs w:val="28"/>
              </w:rPr>
              <w:t>服务期响应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794" w:type="dxa"/>
            <w:vAlign w:val="center"/>
          </w:tcPr>
          <w:p>
            <w:pPr>
              <w:jc w:val="center"/>
              <w:rPr>
                <w:rFonts w:ascii="宋体" w:hAnsi="宋体" w:cs="宋体"/>
                <w:sz w:val="24"/>
                <w:szCs w:val="24"/>
              </w:rPr>
            </w:pPr>
            <w:r>
              <w:rPr>
                <w:rFonts w:hint="eastAsia" w:ascii="宋体" w:hAnsi="宋体" w:cs="宋体"/>
                <w:sz w:val="24"/>
                <w:szCs w:val="24"/>
              </w:rPr>
              <w:t>其他</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460" w:lineRule="exact"/>
        <w:rPr>
          <w:rFonts w:ascii="宋体" w:hAnsi="宋体" w:cs="宋体"/>
          <w:b/>
          <w:bCs/>
          <w:sz w:val="24"/>
          <w:szCs w:val="24"/>
        </w:rPr>
      </w:pPr>
    </w:p>
    <w:p>
      <w:pPr>
        <w:snapToGrid w:val="0"/>
        <w:spacing w:line="460" w:lineRule="exact"/>
        <w:rPr>
          <w:rFonts w:ascii="宋体" w:hAnsi="宋体" w:cs="宋体"/>
          <w:b/>
          <w:bCs/>
          <w:sz w:val="24"/>
          <w:szCs w:val="24"/>
        </w:rPr>
      </w:pPr>
      <w:r>
        <w:rPr>
          <w:rFonts w:hint="eastAsia" w:ascii="宋体" w:hAnsi="宋体" w:cs="宋体"/>
          <w:b/>
          <w:bCs/>
          <w:sz w:val="24"/>
          <w:szCs w:val="24"/>
        </w:rPr>
        <w:t>供应商</w:t>
      </w:r>
      <w:r>
        <w:rPr>
          <w:rFonts w:hint="eastAsia" w:ascii="宋体" w:hAnsi="宋体" w:cs="宋体"/>
          <w:b/>
          <w:bCs/>
          <w:sz w:val="24"/>
          <w:szCs w:val="24"/>
          <w:lang w:eastAsia="zh-CN"/>
        </w:rPr>
        <w:t>盖章</w:t>
      </w:r>
      <w:r>
        <w:rPr>
          <w:rFonts w:hint="eastAsia" w:ascii="宋体" w:hAnsi="宋体" w:cs="宋体"/>
          <w:b/>
          <w:bCs/>
          <w:sz w:val="24"/>
          <w:szCs w:val="24"/>
        </w:rPr>
        <w:t>：</w:t>
      </w:r>
    </w:p>
    <w:p>
      <w:pPr>
        <w:spacing w:line="460" w:lineRule="exact"/>
        <w:jc w:val="left"/>
        <w:rPr>
          <w:rFonts w:ascii="宋体" w:hAnsi="宋体" w:cs="宋体"/>
          <w:sz w:val="24"/>
          <w:szCs w:val="24"/>
        </w:rPr>
      </w:pPr>
      <w:r>
        <w:rPr>
          <w:rFonts w:hint="eastAsia" w:ascii="宋体" w:hAnsi="宋体" w:cs="宋体"/>
          <w:b/>
          <w:bCs/>
          <w:sz w:val="24"/>
          <w:szCs w:val="24"/>
        </w:rPr>
        <w:t>日期：   年   月   日</w:t>
      </w:r>
    </w:p>
    <w:p>
      <w:pPr>
        <w:spacing w:line="460" w:lineRule="exact"/>
        <w:rPr>
          <w:rFonts w:ascii="宋体" w:hAnsi="宋体" w:cs="宋体"/>
          <w:sz w:val="24"/>
          <w:szCs w:val="24"/>
        </w:rPr>
      </w:pPr>
    </w:p>
    <w:p>
      <w:pPr>
        <w:spacing w:line="500" w:lineRule="exact"/>
        <w:rPr>
          <w:rFonts w:ascii="宋体" w:hAnsi="宋体" w:cs="宋体"/>
          <w:sz w:val="24"/>
          <w:szCs w:val="24"/>
        </w:rPr>
      </w:pPr>
      <w:r>
        <w:rPr>
          <w:rFonts w:hint="eastAsia" w:ascii="宋体" w:hAnsi="宋体" w:cs="宋体"/>
          <w:b/>
          <w:bCs/>
          <w:sz w:val="24"/>
          <w:szCs w:val="24"/>
        </w:rPr>
        <w:t>注：</w:t>
      </w:r>
      <w:r>
        <w:rPr>
          <w:rFonts w:hint="eastAsia" w:ascii="宋体" w:hAnsi="宋体" w:cs="宋体"/>
          <w:sz w:val="24"/>
          <w:szCs w:val="28"/>
        </w:rPr>
        <w:t>提供的服务满足采购需求；付款及服务期等均应响应磋商文件要求。</w:t>
      </w:r>
      <w:r>
        <w:rPr>
          <w:rFonts w:hint="eastAsia" w:ascii="宋体" w:hAnsi="宋体" w:cs="宋体"/>
          <w:bCs/>
          <w:sz w:val="24"/>
          <w:szCs w:val="24"/>
        </w:rPr>
        <w:br w:type="page"/>
      </w:r>
      <w:bookmarkStart w:id="128" w:name="_Toc22037"/>
      <w:bookmarkStart w:id="129" w:name="_Toc29422"/>
      <w:r>
        <w:rPr>
          <w:rStyle w:val="103"/>
          <w:rFonts w:hint="eastAsia" w:ascii="宋体" w:hAnsi="宋体" w:eastAsia="宋体" w:cs="宋体"/>
          <w:sz w:val="24"/>
          <w:szCs w:val="24"/>
        </w:rPr>
        <w:t>附件</w:t>
      </w:r>
      <w:bookmarkEnd w:id="127"/>
      <w:r>
        <w:rPr>
          <w:rStyle w:val="103"/>
          <w:rFonts w:hint="eastAsia" w:ascii="宋体" w:hAnsi="宋体" w:eastAsia="宋体" w:cs="宋体"/>
          <w:sz w:val="24"/>
          <w:szCs w:val="24"/>
        </w:rPr>
        <w:t>七</w:t>
      </w:r>
      <w:bookmarkEnd w:id="128"/>
      <w:bookmarkEnd w:id="129"/>
    </w:p>
    <w:p>
      <w:pPr>
        <w:pStyle w:val="3"/>
        <w:spacing w:before="0" w:after="0" w:line="560" w:lineRule="exact"/>
        <w:jc w:val="center"/>
        <w:rPr>
          <w:rFonts w:ascii="宋体" w:hAnsi="宋体" w:eastAsia="宋体" w:cs="宋体"/>
          <w:sz w:val="24"/>
          <w:szCs w:val="24"/>
        </w:rPr>
      </w:pPr>
      <w:bookmarkStart w:id="130" w:name="_Toc18625"/>
      <w:bookmarkStart w:id="131" w:name="_Toc1624"/>
      <w:bookmarkStart w:id="132" w:name="_Toc30527"/>
      <w:r>
        <w:rPr>
          <w:rFonts w:hint="eastAsia" w:ascii="宋体" w:hAnsi="宋体" w:eastAsia="宋体" w:cs="宋体"/>
          <w:sz w:val="24"/>
          <w:szCs w:val="24"/>
        </w:rPr>
        <w:t>相关服务承诺函</w:t>
      </w:r>
      <w:bookmarkEnd w:id="130"/>
      <w:bookmarkEnd w:id="131"/>
      <w:bookmarkEnd w:id="132"/>
    </w:p>
    <w:p>
      <w:pPr>
        <w:jc w:val="center"/>
        <w:rPr>
          <w:rFonts w:ascii="宋体" w:hAnsi="宋体" w:cs="宋体"/>
          <w:sz w:val="24"/>
          <w:szCs w:val="28"/>
        </w:rPr>
      </w:pPr>
    </w:p>
    <w:p>
      <w:pPr>
        <w:jc w:val="center"/>
        <w:rPr>
          <w:rFonts w:ascii="宋体" w:hAnsi="宋体" w:cs="宋体"/>
          <w:sz w:val="24"/>
          <w:szCs w:val="28"/>
        </w:rPr>
      </w:pPr>
      <w:r>
        <w:rPr>
          <w:rFonts w:hint="eastAsia" w:ascii="宋体" w:hAnsi="宋体" w:cs="宋体"/>
          <w:sz w:val="24"/>
          <w:szCs w:val="28"/>
        </w:rPr>
        <w:t>(供应商可自行制作格式)</w:t>
      </w:r>
    </w:p>
    <w:p>
      <w:pPr>
        <w:rPr>
          <w:rFonts w:ascii="宋体" w:hAnsi="宋体" w:cs="宋体"/>
        </w:rPr>
      </w:pPr>
    </w:p>
    <w:p>
      <w:pPr>
        <w:rPr>
          <w:rFonts w:ascii="宋体" w:hAnsi="宋体" w:cs="宋体"/>
        </w:rPr>
      </w:pPr>
    </w:p>
    <w:p>
      <w:pPr>
        <w:rPr>
          <w:rStyle w:val="103"/>
          <w:rFonts w:hint="eastAsia" w:ascii="宋体" w:hAnsi="宋体" w:eastAsia="宋体" w:cs="宋体"/>
          <w:sz w:val="24"/>
          <w:szCs w:val="24"/>
          <w:lang w:val="en-US" w:eastAsia="zh-CN"/>
        </w:rPr>
      </w:pPr>
      <w:bookmarkStart w:id="133" w:name="_Toc2238"/>
      <w:bookmarkStart w:id="134" w:name="_Toc3162"/>
      <w:bookmarkStart w:id="135" w:name="_Toc7571"/>
      <w:r>
        <w:rPr>
          <w:rStyle w:val="103"/>
          <w:rFonts w:hint="eastAsia" w:ascii="宋体" w:hAnsi="宋体" w:eastAsia="宋体" w:cs="宋体"/>
          <w:sz w:val="24"/>
          <w:szCs w:val="24"/>
        </w:rPr>
        <w:t>附件</w:t>
      </w:r>
      <w:bookmarkEnd w:id="133"/>
      <w:bookmarkEnd w:id="134"/>
      <w:r>
        <w:rPr>
          <w:rStyle w:val="103"/>
          <w:rFonts w:hint="eastAsia" w:ascii="宋体" w:hAnsi="宋体" w:cs="宋体"/>
          <w:sz w:val="24"/>
          <w:szCs w:val="24"/>
          <w:lang w:val="en-US" w:eastAsia="zh-CN"/>
        </w:rPr>
        <w:t>八</w:t>
      </w:r>
    </w:p>
    <w:bookmarkEnd w:id="135"/>
    <w:p>
      <w:pPr>
        <w:spacing w:line="360" w:lineRule="auto"/>
        <w:rPr>
          <w:rFonts w:ascii="宋体" w:hAnsi="宋体" w:cs="宋体"/>
          <w:bCs/>
          <w:sz w:val="24"/>
          <w:szCs w:val="24"/>
        </w:rPr>
      </w:pPr>
      <w:bookmarkStart w:id="136" w:name="_Toc28850"/>
    </w:p>
    <w:p>
      <w:pPr>
        <w:spacing w:line="360" w:lineRule="auto"/>
        <w:jc w:val="center"/>
        <w:rPr>
          <w:rFonts w:ascii="宋体" w:hAnsi="宋体" w:cs="宋体"/>
          <w:bCs/>
          <w:sz w:val="24"/>
          <w:szCs w:val="24"/>
        </w:rPr>
      </w:pPr>
      <w:r>
        <w:rPr>
          <w:rFonts w:hint="eastAsia" w:ascii="宋体" w:hAnsi="宋体" w:cs="宋体"/>
          <w:bCs/>
          <w:sz w:val="24"/>
          <w:szCs w:val="24"/>
        </w:rPr>
        <w:t>磋商文件要求和供应商认为需要提供的其它说明和资料</w:t>
      </w:r>
      <w:bookmarkEnd w:id="136"/>
    </w:p>
    <w:p>
      <w:pPr>
        <w:rPr>
          <w:rFonts w:hint="eastAsia"/>
          <w:sz w:val="28"/>
          <w:szCs w:val="28"/>
        </w:rPr>
      </w:pPr>
    </w:p>
    <w:p>
      <w:pPr>
        <w:rPr>
          <w:rFonts w:hint="eastAsia" w:ascii="黑体" w:hAnsi="黑体" w:eastAsia="黑体"/>
          <w:sz w:val="36"/>
          <w:szCs w:val="36"/>
        </w:rPr>
      </w:pPr>
      <w:r>
        <w:rPr>
          <w:rFonts w:hint="eastAsia" w:ascii="黑体" w:hAnsi="黑体" w:eastAsia="黑体"/>
          <w:sz w:val="36"/>
          <w:szCs w:val="36"/>
          <w:u w:val="single"/>
          <w:lang w:val="en-US" w:eastAsia="zh-CN"/>
        </w:rPr>
        <w:br w:type="page"/>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u w:val="single"/>
          <w:lang w:val="en-US" w:eastAsia="zh-CN"/>
        </w:rPr>
        <w:t>皖西卫生职业学院附属医院人血液标本全转录组测序及生信分析检测服务项目</w:t>
      </w:r>
      <w:r>
        <w:rPr>
          <w:rFonts w:hint="eastAsia" w:ascii="黑体" w:hAnsi="黑体" w:eastAsia="黑体"/>
          <w:sz w:val="36"/>
          <w:szCs w:val="36"/>
        </w:rPr>
        <w:t>竞争性</w:t>
      </w:r>
      <w:r>
        <w:rPr>
          <w:rFonts w:hint="eastAsia" w:ascii="黑体" w:hAnsi="黑体" w:eastAsia="黑体"/>
          <w:sz w:val="36"/>
          <w:szCs w:val="36"/>
          <w:lang w:val="en-US" w:eastAsia="zh-CN"/>
        </w:rPr>
        <w:t>磋商</w:t>
      </w:r>
      <w:r>
        <w:rPr>
          <w:rFonts w:hint="eastAsia" w:ascii="黑体" w:hAnsi="黑体" w:eastAsia="黑体"/>
          <w:sz w:val="36"/>
          <w:szCs w:val="36"/>
        </w:rPr>
        <w:t>二轮报价表</w:t>
      </w:r>
    </w:p>
    <w:p>
      <w:pPr>
        <w:spacing w:line="640" w:lineRule="exact"/>
        <w:rPr>
          <w:rFonts w:ascii="宋体" w:hAnsi="宋体"/>
          <w:sz w:val="28"/>
          <w:szCs w:val="28"/>
        </w:rPr>
      </w:pP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皖西卫生职业学院附属医院</w:t>
      </w:r>
      <w:r>
        <w:rPr>
          <w:rFonts w:hint="eastAsia" w:ascii="宋体" w:hAnsi="宋体"/>
          <w:sz w:val="28"/>
          <w:szCs w:val="28"/>
          <w:u w:val="single"/>
        </w:rPr>
        <w:t>(</w:t>
      </w:r>
      <w:r>
        <w:rPr>
          <w:rFonts w:hint="eastAsia" w:ascii="宋体" w:hAnsi="宋体"/>
          <w:sz w:val="28"/>
          <w:szCs w:val="28"/>
        </w:rPr>
        <w:t>采购人)</w:t>
      </w:r>
    </w:p>
    <w:p>
      <w:pPr>
        <w:numPr>
          <w:ilvl w:val="0"/>
          <w:numId w:val="9"/>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皖西卫生职业学院附属医院人血液标本全转录组测序及生信分析检测服务项目</w:t>
      </w:r>
      <w:r>
        <w:rPr>
          <w:rFonts w:hint="eastAsia" w:ascii="宋体" w:hAnsi="宋体"/>
          <w:sz w:val="28"/>
          <w:szCs w:val="28"/>
          <w:lang w:val="en-US" w:eastAsia="zh-CN"/>
        </w:rPr>
        <w:t>进行二轮报价</w:t>
      </w:r>
      <w:r>
        <w:rPr>
          <w:rFonts w:hint="eastAsia" w:ascii="宋体" w:hAnsi="宋体"/>
          <w:sz w:val="28"/>
          <w:szCs w:val="28"/>
        </w:rPr>
        <w:t>：</w:t>
      </w:r>
    </w:p>
    <w:p>
      <w:pPr>
        <w:pStyle w:val="33"/>
        <w:numPr>
          <w:ilvl w:val="0"/>
          <w:numId w:val="0"/>
        </w:numPr>
      </w:pPr>
    </w:p>
    <w:tbl>
      <w:tblPr>
        <w:tblStyle w:val="35"/>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538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02" w:type="dxa"/>
            <w:vAlign w:val="center"/>
          </w:tcPr>
          <w:p>
            <w:pPr>
              <w:jc w:val="center"/>
              <w:rPr>
                <w:rFonts w:ascii="宋体" w:hAnsi="宋体"/>
                <w:b/>
                <w:sz w:val="24"/>
                <w:szCs w:val="24"/>
              </w:rPr>
            </w:pPr>
            <w:r>
              <w:rPr>
                <w:rFonts w:hint="eastAsia" w:ascii="宋体" w:hAnsi="宋体"/>
                <w:b/>
                <w:sz w:val="24"/>
                <w:szCs w:val="24"/>
              </w:rPr>
              <w:t>序号</w:t>
            </w:r>
          </w:p>
        </w:tc>
        <w:tc>
          <w:tcPr>
            <w:tcW w:w="5385" w:type="dxa"/>
            <w:vAlign w:val="center"/>
          </w:tcPr>
          <w:p>
            <w:pPr>
              <w:jc w:val="center"/>
              <w:rPr>
                <w:rFonts w:ascii="宋体" w:hAnsi="宋体"/>
                <w:b/>
                <w:sz w:val="24"/>
                <w:szCs w:val="24"/>
              </w:rPr>
            </w:pPr>
            <w:r>
              <w:rPr>
                <w:rFonts w:hint="eastAsia" w:ascii="宋体" w:hAnsi="宋体"/>
                <w:b/>
                <w:sz w:val="24"/>
                <w:szCs w:val="24"/>
                <w:lang w:val="en-US" w:eastAsia="zh-CN"/>
              </w:rPr>
              <w:t>项目名称</w:t>
            </w:r>
          </w:p>
        </w:tc>
        <w:tc>
          <w:tcPr>
            <w:tcW w:w="2715" w:type="dxa"/>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二轮报</w:t>
            </w:r>
            <w:r>
              <w:rPr>
                <w:rFonts w:hint="eastAsia" w:ascii="宋体" w:hAnsi="宋体"/>
                <w:b/>
                <w:sz w:val="24"/>
                <w:szCs w:val="24"/>
              </w:rPr>
              <w:t>价</w:t>
            </w:r>
            <w:r>
              <w:rPr>
                <w:rFonts w:hint="eastAsia" w:ascii="宋体" w:hAnsi="宋体"/>
                <w:b/>
                <w:sz w:val="24"/>
                <w:szCs w:val="24"/>
                <w:lang w:eastAsia="zh-CN"/>
              </w:rPr>
              <w:t>（</w:t>
            </w:r>
            <w:r>
              <w:rPr>
                <w:rFonts w:hint="eastAsia" w:ascii="宋体" w:hAnsi="宋体"/>
                <w:b/>
                <w:sz w:val="24"/>
                <w:szCs w:val="24"/>
                <w:lang w:val="en-US" w:eastAsia="zh-CN"/>
              </w:rPr>
              <w:t>元</w:t>
            </w:r>
            <w:r>
              <w:rPr>
                <w:rFonts w:hint="eastAsia" w:ascii="宋体" w:hAnsi="宋体"/>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tcBorders>
              <w:bottom w:val="single" w:color="auto" w:sz="4" w:space="0"/>
            </w:tcBorders>
            <w:vAlign w:val="center"/>
          </w:tcPr>
          <w:p>
            <w:pPr>
              <w:jc w:val="center"/>
              <w:rPr>
                <w:rFonts w:ascii="宋体" w:hAnsi="宋体"/>
                <w:bCs/>
                <w:sz w:val="24"/>
                <w:szCs w:val="24"/>
              </w:rPr>
            </w:pPr>
            <w:r>
              <w:rPr>
                <w:rFonts w:hint="eastAsia" w:ascii="宋体" w:hAnsi="宋体"/>
                <w:bCs/>
                <w:sz w:val="24"/>
                <w:szCs w:val="24"/>
              </w:rPr>
              <w:t>1</w:t>
            </w:r>
          </w:p>
        </w:tc>
        <w:tc>
          <w:tcPr>
            <w:tcW w:w="5385" w:type="dxa"/>
            <w:vAlign w:val="center"/>
          </w:tcPr>
          <w:p>
            <w:pPr>
              <w:jc w:val="center"/>
              <w:rPr>
                <w:rFonts w:ascii="宋体" w:hAnsi="宋体"/>
                <w:bCs/>
                <w:sz w:val="24"/>
                <w:szCs w:val="24"/>
              </w:rPr>
            </w:pPr>
            <w:r>
              <w:rPr>
                <w:rFonts w:hint="eastAsia" w:ascii="宋体" w:hAnsi="宋体"/>
                <w:bCs/>
                <w:sz w:val="24"/>
                <w:szCs w:val="24"/>
                <w:lang w:val="en-US" w:eastAsia="zh-CN"/>
              </w:rPr>
              <w:t>皖西卫生职业学院附属医院人血液标本全转录组测序及生信分析检测服务项目</w:t>
            </w:r>
          </w:p>
        </w:tc>
        <w:tc>
          <w:tcPr>
            <w:tcW w:w="2715" w:type="dxa"/>
            <w:vAlign w:val="center"/>
          </w:tcPr>
          <w:p>
            <w:pPr>
              <w:ind w:firstLine="480" w:firstLineChars="200"/>
              <w:jc w:val="center"/>
              <w:rPr>
                <w:rFonts w:hint="eastAsia" w:ascii="宋体" w:hAnsi="宋体" w:eastAsia="宋体"/>
                <w:bCs/>
                <w:sz w:val="24"/>
                <w:szCs w:val="24"/>
                <w:lang w:val="en-US" w:eastAsia="zh-CN"/>
              </w:rPr>
            </w:pPr>
            <w:r>
              <w:rPr>
                <w:rFonts w:hint="eastAsia" w:ascii="宋体" w:hAnsi="宋体"/>
                <w:bCs/>
                <w:sz w:val="24"/>
                <w:szCs w:val="24"/>
                <w:lang w:val="en-US" w:eastAsia="zh-CN"/>
              </w:rPr>
              <w:t xml:space="preserve">  </w:t>
            </w:r>
          </w:p>
        </w:tc>
      </w:tr>
    </w:tbl>
    <w:p>
      <w:pPr>
        <w:spacing w:line="640" w:lineRule="exact"/>
        <w:ind w:firstLine="560" w:firstLineChars="200"/>
        <w:rPr>
          <w:rFonts w:hint="eastAsia" w:ascii="宋体" w:hAnsi="宋体"/>
          <w:sz w:val="28"/>
          <w:szCs w:val="28"/>
        </w:rPr>
      </w:pPr>
    </w:p>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rPr>
          <w:rFonts w:ascii="宋体" w:hAnsi="宋体"/>
          <w:sz w:val="28"/>
          <w:szCs w:val="28"/>
        </w:rPr>
      </w:pP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（签字或盖章）</w:t>
      </w:r>
    </w:p>
    <w:p>
      <w:pPr>
        <w:wordWrap w:val="0"/>
        <w:ind w:right="280"/>
        <w:jc w:val="right"/>
        <w:rPr>
          <w:rFonts w:hint="eastAsia" w:ascii="宋体" w:hAnsi="宋体"/>
          <w:b/>
          <w:bCs/>
          <w:sz w:val="28"/>
          <w:szCs w:val="28"/>
          <w:shd w:val="clear" w:color="auto" w:fill="FFFFFF"/>
        </w:rPr>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日</w:t>
      </w:r>
    </w:p>
    <w:p>
      <w:pPr>
        <w:rPr>
          <w:rFonts w:hint="eastAsia" w:ascii="宋体" w:hAnsi="宋体"/>
          <w:b/>
          <w:bCs/>
          <w:sz w:val="28"/>
          <w:szCs w:val="28"/>
          <w:shd w:val="clear" w:color="auto" w:fill="FFFFFF"/>
        </w:rPr>
      </w:pPr>
    </w:p>
    <w:p>
      <w:pPr>
        <w:rPr>
          <w:rFonts w:hint="eastAsia" w:ascii="宋体" w:hAnsi="宋体"/>
          <w:b/>
          <w:bCs/>
          <w:sz w:val="28"/>
          <w:szCs w:val="28"/>
          <w:shd w:val="clear" w:color="auto" w:fill="FFFFFF"/>
        </w:rPr>
      </w:pPr>
    </w:p>
    <w:p>
      <w:pPr>
        <w:rPr>
          <w:rFonts w:hint="eastAsia" w:ascii="宋体" w:hAnsi="宋体"/>
          <w:b/>
          <w:bCs/>
          <w:sz w:val="28"/>
          <w:szCs w:val="28"/>
          <w:shd w:val="clear" w:color="auto" w:fill="FFFFFF"/>
        </w:rPr>
      </w:pPr>
      <w:r>
        <w:rPr>
          <w:rFonts w:hint="eastAsia" w:ascii="宋体" w:hAnsi="宋体"/>
          <w:b/>
          <w:bCs/>
          <w:sz w:val="28"/>
          <w:szCs w:val="28"/>
          <w:shd w:val="clear" w:color="auto" w:fill="FFFFFF"/>
        </w:rPr>
        <w:t>注：二轮报价只报总价，后一轮报价不得大于前一轮报价，否则为无效报价。报价轮次由评审委员会确定，供应商在响应文件中报价即为首轮报价。</w:t>
      </w:r>
    </w:p>
    <w:p>
      <w:pPr>
        <w:rPr>
          <w:rFonts w:ascii="宋体" w:hAnsi="宋体"/>
          <w:b/>
          <w:bCs/>
          <w:sz w:val="28"/>
          <w:szCs w:val="28"/>
          <w:shd w:val="clear" w:color="auto" w:fill="FFFFFF"/>
        </w:rPr>
      </w:pPr>
    </w:p>
    <w:sectPr>
      <w:headerReference r:id="rId3" w:type="default"/>
      <w:footerReference r:id="rId5" w:type="default"/>
      <w:headerReference r:id="rId4" w:type="even"/>
      <w:footerReference r:id="rId6"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29</w:t>
    </w:r>
    <w:r>
      <w:rPr>
        <w:rStyle w:val="39"/>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r>
      <w:rPr>
        <w:rStyle w:val="39"/>
      </w:rPr>
      <w:fldChar w:fldCharType="begin"/>
    </w:r>
    <w:r>
      <w:rPr>
        <w:rStyle w:val="39"/>
      </w:rPr>
      <w:instrText xml:space="preserve">PAGE  </w:instrText>
    </w:r>
    <w:r>
      <w:rPr>
        <w:rStyle w:val="39"/>
      </w:rPr>
      <w:fldChar w:fldCharType="end"/>
    </w:r>
  </w:p>
  <w:p>
    <w:pPr>
      <w:pStyle w:val="2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6116F"/>
    <w:multiLevelType w:val="multilevel"/>
    <w:tmpl w:val="90B6116F"/>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b/>
        <w:bCs/>
      </w:rPr>
    </w:lvl>
    <w:lvl w:ilvl="2" w:tentative="0">
      <w:start w:val="1"/>
      <w:numFmt w:val="decimal"/>
      <w:lvlText w:val="%1.%2.%3."/>
      <w:lvlJc w:val="left"/>
      <w:pPr>
        <w:ind w:left="709" w:hanging="709"/>
      </w:pPr>
      <w:rPr>
        <w:rFonts w:hint="default"/>
        <w:b w:val="0"/>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C11E44A8"/>
    <w:multiLevelType w:val="singleLevel"/>
    <w:tmpl w:val="C11E44A8"/>
    <w:lvl w:ilvl="0" w:tentative="0">
      <w:start w:val="1"/>
      <w:numFmt w:val="chineseCounting"/>
      <w:suff w:val="nothing"/>
      <w:lvlText w:val="（%1）"/>
      <w:lvlJc w:val="left"/>
      <w:rPr>
        <w:rFonts w:hint="eastAsia"/>
      </w:rPr>
    </w:lvl>
  </w:abstractNum>
  <w:abstractNum w:abstractNumId="2">
    <w:nsid w:val="CA921B7E"/>
    <w:multiLevelType w:val="singleLevel"/>
    <w:tmpl w:val="CA921B7E"/>
    <w:lvl w:ilvl="0" w:tentative="0">
      <w:start w:val="3"/>
      <w:numFmt w:val="chineseCounting"/>
      <w:suff w:val="nothing"/>
      <w:lvlText w:val="%1、"/>
      <w:lvlJc w:val="left"/>
      <w:rPr>
        <w:rFonts w:hint="eastAsia"/>
      </w:rPr>
    </w:lvl>
  </w:abstractNum>
  <w:abstractNum w:abstractNumId="3">
    <w:nsid w:val="FA69F08A"/>
    <w:multiLevelType w:val="singleLevel"/>
    <w:tmpl w:val="FA69F08A"/>
    <w:lvl w:ilvl="0" w:tentative="0">
      <w:start w:val="1"/>
      <w:numFmt w:val="decimal"/>
      <w:suff w:val="nothing"/>
      <w:lvlText w:val="%1、"/>
      <w:lvlJc w:val="left"/>
    </w:lvl>
  </w:abstractNum>
  <w:abstractNum w:abstractNumId="4">
    <w:nsid w:val="00000005"/>
    <w:multiLevelType w:val="multilevel"/>
    <w:tmpl w:val="00000005"/>
    <w:lvl w:ilvl="0" w:tentative="0">
      <w:start w:val="1"/>
      <w:numFmt w:val="decimal"/>
      <w:pStyle w:val="6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47E2580A"/>
    <w:multiLevelType w:val="multilevel"/>
    <w:tmpl w:val="47E2580A"/>
    <w:lvl w:ilvl="0" w:tentative="0">
      <w:start w:val="4"/>
      <w:numFmt w:val="decimal"/>
      <w:suff w:val="space"/>
      <w:lvlText w:val="%1."/>
      <w:lvlJc w:val="left"/>
      <w:pPr>
        <w:tabs>
          <w:tab w:val="left" w:pos="0"/>
        </w:tabs>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
    <w:nsid w:val="486499C4"/>
    <w:multiLevelType w:val="multilevel"/>
    <w:tmpl w:val="486499C4"/>
    <w:lvl w:ilvl="0" w:tentative="0">
      <w:start w:val="3"/>
      <w:numFmt w:val="decimal"/>
      <w:lvlText w:val="%1."/>
      <w:lvlJc w:val="left"/>
      <w:pPr>
        <w:tabs>
          <w:tab w:val="left" w:pos="420"/>
        </w:tabs>
        <w:ind w:left="425" w:hanging="425"/>
      </w:pPr>
      <w:rPr>
        <w:rFonts w:hint="default"/>
      </w:rPr>
    </w:lvl>
    <w:lvl w:ilvl="1" w:tentative="0">
      <w:start w:val="1"/>
      <w:numFmt w:val="decimal"/>
      <w:suff w:val="space"/>
      <w:lvlText w:val="%1.%2."/>
      <w:lvlJc w:val="left"/>
      <w:pPr>
        <w:ind w:left="0" w:firstLine="0"/>
      </w:pPr>
      <w:rPr>
        <w:rFonts w:hint="default" w:ascii="宋体" w:hAnsi="宋体" w:eastAsia="宋体" w:cs="宋体"/>
        <w:b w:val="0"/>
        <w:bCs w:val="0"/>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7">
    <w:nsid w:val="7740CD31"/>
    <w:multiLevelType w:val="singleLevel"/>
    <w:tmpl w:val="7740CD31"/>
    <w:lvl w:ilvl="0" w:tentative="0">
      <w:start w:val="2"/>
      <w:numFmt w:val="decimal"/>
      <w:suff w:val="nothing"/>
      <w:lvlText w:val="%1、"/>
      <w:lvlJc w:val="left"/>
    </w:lvl>
  </w:abstractNum>
  <w:abstractNum w:abstractNumId="8">
    <w:nsid w:val="778635FD"/>
    <w:multiLevelType w:val="multilevel"/>
    <w:tmpl w:val="778635FD"/>
    <w:lvl w:ilvl="0" w:tentative="0">
      <w:start w:val="2"/>
      <w:numFmt w:val="decimal"/>
      <w:lvlText w:val="%1."/>
      <w:lvlJc w:val="left"/>
      <w:pPr>
        <w:ind w:left="425" w:hanging="425"/>
      </w:pPr>
      <w:rPr>
        <w:rFonts w:hint="default"/>
        <w:b/>
        <w:bCs/>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4"/>
  </w:num>
  <w:num w:numId="2">
    <w:abstractNumId w:val="7"/>
  </w:num>
  <w:num w:numId="3">
    <w:abstractNumId w:val="2"/>
  </w:num>
  <w:num w:numId="4">
    <w:abstractNumId w:val="1"/>
  </w:num>
  <w:num w:numId="5">
    <w:abstractNumId w:val="0"/>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2D677B"/>
    <w:rsid w:val="000120AC"/>
    <w:rsid w:val="000145D1"/>
    <w:rsid w:val="00015C71"/>
    <w:rsid w:val="000271A7"/>
    <w:rsid w:val="00042454"/>
    <w:rsid w:val="00053B80"/>
    <w:rsid w:val="00053F56"/>
    <w:rsid w:val="00057B34"/>
    <w:rsid w:val="0006429A"/>
    <w:rsid w:val="00066BCF"/>
    <w:rsid w:val="0007068B"/>
    <w:rsid w:val="0007438F"/>
    <w:rsid w:val="00083A3D"/>
    <w:rsid w:val="00085013"/>
    <w:rsid w:val="0008734A"/>
    <w:rsid w:val="00091912"/>
    <w:rsid w:val="00092365"/>
    <w:rsid w:val="00095459"/>
    <w:rsid w:val="000A18AA"/>
    <w:rsid w:val="000A3D75"/>
    <w:rsid w:val="000D72BD"/>
    <w:rsid w:val="000E215B"/>
    <w:rsid w:val="000E29A9"/>
    <w:rsid w:val="000F6DD6"/>
    <w:rsid w:val="0010048A"/>
    <w:rsid w:val="00102BDC"/>
    <w:rsid w:val="00111AA2"/>
    <w:rsid w:val="00117F05"/>
    <w:rsid w:val="001252D5"/>
    <w:rsid w:val="001260B2"/>
    <w:rsid w:val="00135355"/>
    <w:rsid w:val="00146D70"/>
    <w:rsid w:val="00156254"/>
    <w:rsid w:val="001723C8"/>
    <w:rsid w:val="001903C6"/>
    <w:rsid w:val="001A3254"/>
    <w:rsid w:val="001B57E1"/>
    <w:rsid w:val="001C47BA"/>
    <w:rsid w:val="001C6B89"/>
    <w:rsid w:val="001F767E"/>
    <w:rsid w:val="00206019"/>
    <w:rsid w:val="0021447E"/>
    <w:rsid w:val="002175D2"/>
    <w:rsid w:val="00222133"/>
    <w:rsid w:val="00230806"/>
    <w:rsid w:val="00230AFD"/>
    <w:rsid w:val="00232B23"/>
    <w:rsid w:val="00237B8A"/>
    <w:rsid w:val="0024002C"/>
    <w:rsid w:val="0025494F"/>
    <w:rsid w:val="002656AE"/>
    <w:rsid w:val="00281CBF"/>
    <w:rsid w:val="002908AE"/>
    <w:rsid w:val="00295D2C"/>
    <w:rsid w:val="002A2A22"/>
    <w:rsid w:val="002A5B98"/>
    <w:rsid w:val="002C3E11"/>
    <w:rsid w:val="002D508E"/>
    <w:rsid w:val="002D677B"/>
    <w:rsid w:val="002E54B3"/>
    <w:rsid w:val="002F5374"/>
    <w:rsid w:val="002F5CAB"/>
    <w:rsid w:val="00314F50"/>
    <w:rsid w:val="003342EF"/>
    <w:rsid w:val="00337DCA"/>
    <w:rsid w:val="00341CB0"/>
    <w:rsid w:val="003452C5"/>
    <w:rsid w:val="00350E5F"/>
    <w:rsid w:val="00370F26"/>
    <w:rsid w:val="003808D6"/>
    <w:rsid w:val="00385D3E"/>
    <w:rsid w:val="003A03AB"/>
    <w:rsid w:val="003E0B3C"/>
    <w:rsid w:val="003E7C3B"/>
    <w:rsid w:val="00410AD8"/>
    <w:rsid w:val="00413100"/>
    <w:rsid w:val="00424DA5"/>
    <w:rsid w:val="00425C52"/>
    <w:rsid w:val="004413B4"/>
    <w:rsid w:val="00453F7D"/>
    <w:rsid w:val="00480966"/>
    <w:rsid w:val="004A2AC5"/>
    <w:rsid w:val="004A45A4"/>
    <w:rsid w:val="004C64FF"/>
    <w:rsid w:val="004D5F5D"/>
    <w:rsid w:val="004F279A"/>
    <w:rsid w:val="0050472D"/>
    <w:rsid w:val="005236AE"/>
    <w:rsid w:val="00524A87"/>
    <w:rsid w:val="00533AAE"/>
    <w:rsid w:val="00554CE3"/>
    <w:rsid w:val="005710D8"/>
    <w:rsid w:val="005A03E4"/>
    <w:rsid w:val="005B04B8"/>
    <w:rsid w:val="005E38A4"/>
    <w:rsid w:val="005E56CC"/>
    <w:rsid w:val="005E754A"/>
    <w:rsid w:val="00654D2C"/>
    <w:rsid w:val="00661562"/>
    <w:rsid w:val="00682117"/>
    <w:rsid w:val="0068795B"/>
    <w:rsid w:val="00695280"/>
    <w:rsid w:val="006B21E7"/>
    <w:rsid w:val="006D3DB9"/>
    <w:rsid w:val="006F01D1"/>
    <w:rsid w:val="006F3D3E"/>
    <w:rsid w:val="006F49EE"/>
    <w:rsid w:val="00703A7D"/>
    <w:rsid w:val="007045A4"/>
    <w:rsid w:val="00715AE4"/>
    <w:rsid w:val="0073207C"/>
    <w:rsid w:val="007550DC"/>
    <w:rsid w:val="00766A44"/>
    <w:rsid w:val="00767BB2"/>
    <w:rsid w:val="00777046"/>
    <w:rsid w:val="00784363"/>
    <w:rsid w:val="0078488E"/>
    <w:rsid w:val="00790BD6"/>
    <w:rsid w:val="0079235B"/>
    <w:rsid w:val="007A4EEE"/>
    <w:rsid w:val="007B00FB"/>
    <w:rsid w:val="007E5141"/>
    <w:rsid w:val="007F2C26"/>
    <w:rsid w:val="007F3323"/>
    <w:rsid w:val="007F72E0"/>
    <w:rsid w:val="00802679"/>
    <w:rsid w:val="00810784"/>
    <w:rsid w:val="00821EE8"/>
    <w:rsid w:val="008448CD"/>
    <w:rsid w:val="0086536B"/>
    <w:rsid w:val="0089296C"/>
    <w:rsid w:val="008A6D3D"/>
    <w:rsid w:val="008B0E3B"/>
    <w:rsid w:val="008C0ED2"/>
    <w:rsid w:val="008D216E"/>
    <w:rsid w:val="008E0D41"/>
    <w:rsid w:val="00922A63"/>
    <w:rsid w:val="00925990"/>
    <w:rsid w:val="00940C0D"/>
    <w:rsid w:val="00942328"/>
    <w:rsid w:val="0094320A"/>
    <w:rsid w:val="009628D2"/>
    <w:rsid w:val="00964C0F"/>
    <w:rsid w:val="0097577C"/>
    <w:rsid w:val="00980525"/>
    <w:rsid w:val="009B5EF1"/>
    <w:rsid w:val="009D0332"/>
    <w:rsid w:val="00A051CF"/>
    <w:rsid w:val="00A12E92"/>
    <w:rsid w:val="00A14F6A"/>
    <w:rsid w:val="00A17EB8"/>
    <w:rsid w:val="00A2462A"/>
    <w:rsid w:val="00A27C2C"/>
    <w:rsid w:val="00A301BA"/>
    <w:rsid w:val="00A3443C"/>
    <w:rsid w:val="00A5114C"/>
    <w:rsid w:val="00A52EA8"/>
    <w:rsid w:val="00A612D2"/>
    <w:rsid w:val="00A7302C"/>
    <w:rsid w:val="00A74097"/>
    <w:rsid w:val="00A74C0B"/>
    <w:rsid w:val="00A85BA0"/>
    <w:rsid w:val="00A95755"/>
    <w:rsid w:val="00A957C6"/>
    <w:rsid w:val="00A966A5"/>
    <w:rsid w:val="00AA5057"/>
    <w:rsid w:val="00AB51D7"/>
    <w:rsid w:val="00AC4741"/>
    <w:rsid w:val="00AD100F"/>
    <w:rsid w:val="00B00630"/>
    <w:rsid w:val="00B21075"/>
    <w:rsid w:val="00B27CFD"/>
    <w:rsid w:val="00B4726F"/>
    <w:rsid w:val="00B57818"/>
    <w:rsid w:val="00B578EB"/>
    <w:rsid w:val="00B7616C"/>
    <w:rsid w:val="00B80346"/>
    <w:rsid w:val="00BA10A8"/>
    <w:rsid w:val="00BA136D"/>
    <w:rsid w:val="00BA3764"/>
    <w:rsid w:val="00BB63DF"/>
    <w:rsid w:val="00BB7605"/>
    <w:rsid w:val="00BC2739"/>
    <w:rsid w:val="00BC5045"/>
    <w:rsid w:val="00BD23FE"/>
    <w:rsid w:val="00C0313E"/>
    <w:rsid w:val="00C35B5F"/>
    <w:rsid w:val="00C4377A"/>
    <w:rsid w:val="00C5087F"/>
    <w:rsid w:val="00C56F48"/>
    <w:rsid w:val="00C6343E"/>
    <w:rsid w:val="00C71EC0"/>
    <w:rsid w:val="00C72D9C"/>
    <w:rsid w:val="00C734AB"/>
    <w:rsid w:val="00C84AAC"/>
    <w:rsid w:val="00C97CD9"/>
    <w:rsid w:val="00CA32AE"/>
    <w:rsid w:val="00CA60CE"/>
    <w:rsid w:val="00CB2CE0"/>
    <w:rsid w:val="00CE1386"/>
    <w:rsid w:val="00CE28E9"/>
    <w:rsid w:val="00CE3BB4"/>
    <w:rsid w:val="00CF10C1"/>
    <w:rsid w:val="00CF3743"/>
    <w:rsid w:val="00D027C9"/>
    <w:rsid w:val="00D13AEE"/>
    <w:rsid w:val="00D16453"/>
    <w:rsid w:val="00D175FB"/>
    <w:rsid w:val="00D2401D"/>
    <w:rsid w:val="00D33ECF"/>
    <w:rsid w:val="00D429C1"/>
    <w:rsid w:val="00D54208"/>
    <w:rsid w:val="00D6083A"/>
    <w:rsid w:val="00DA1E4E"/>
    <w:rsid w:val="00DA2C77"/>
    <w:rsid w:val="00DA578E"/>
    <w:rsid w:val="00DC1314"/>
    <w:rsid w:val="00DC653F"/>
    <w:rsid w:val="00DD1C69"/>
    <w:rsid w:val="00DD2C6C"/>
    <w:rsid w:val="00DE18CD"/>
    <w:rsid w:val="00DF7DF4"/>
    <w:rsid w:val="00E119E3"/>
    <w:rsid w:val="00E15875"/>
    <w:rsid w:val="00E20914"/>
    <w:rsid w:val="00E231B2"/>
    <w:rsid w:val="00E55D55"/>
    <w:rsid w:val="00E617E1"/>
    <w:rsid w:val="00E848B5"/>
    <w:rsid w:val="00E912B4"/>
    <w:rsid w:val="00EA3497"/>
    <w:rsid w:val="00EB3BD8"/>
    <w:rsid w:val="00EE11E5"/>
    <w:rsid w:val="00EE4358"/>
    <w:rsid w:val="00EE5630"/>
    <w:rsid w:val="00EF2195"/>
    <w:rsid w:val="00EF3C5F"/>
    <w:rsid w:val="00F05A49"/>
    <w:rsid w:val="00F1594F"/>
    <w:rsid w:val="00F22829"/>
    <w:rsid w:val="00F31F25"/>
    <w:rsid w:val="00F40445"/>
    <w:rsid w:val="00F43B03"/>
    <w:rsid w:val="00F464A7"/>
    <w:rsid w:val="00F564DA"/>
    <w:rsid w:val="00F64830"/>
    <w:rsid w:val="00F74BC0"/>
    <w:rsid w:val="00F76D41"/>
    <w:rsid w:val="00F91C4B"/>
    <w:rsid w:val="00F927C2"/>
    <w:rsid w:val="00FA1EEE"/>
    <w:rsid w:val="00FA35DA"/>
    <w:rsid w:val="00FB29F0"/>
    <w:rsid w:val="00FC1D08"/>
    <w:rsid w:val="00FC79F6"/>
    <w:rsid w:val="00FF1C7C"/>
    <w:rsid w:val="017E1B19"/>
    <w:rsid w:val="01ED3B47"/>
    <w:rsid w:val="02B23EDB"/>
    <w:rsid w:val="03062E20"/>
    <w:rsid w:val="03B22505"/>
    <w:rsid w:val="04067181"/>
    <w:rsid w:val="04103CCA"/>
    <w:rsid w:val="04EE7346"/>
    <w:rsid w:val="05045387"/>
    <w:rsid w:val="05104E6D"/>
    <w:rsid w:val="05ED76CD"/>
    <w:rsid w:val="06262FF6"/>
    <w:rsid w:val="071F3C37"/>
    <w:rsid w:val="07267565"/>
    <w:rsid w:val="076842DB"/>
    <w:rsid w:val="078C18B4"/>
    <w:rsid w:val="07A20F5E"/>
    <w:rsid w:val="0861256E"/>
    <w:rsid w:val="095F7F4C"/>
    <w:rsid w:val="098F3EFE"/>
    <w:rsid w:val="09A60123"/>
    <w:rsid w:val="09AE75F4"/>
    <w:rsid w:val="09B95F2A"/>
    <w:rsid w:val="0A0C7574"/>
    <w:rsid w:val="0A424E4D"/>
    <w:rsid w:val="0A922227"/>
    <w:rsid w:val="0AF82AC1"/>
    <w:rsid w:val="0B124FA3"/>
    <w:rsid w:val="0B66533A"/>
    <w:rsid w:val="0B84414D"/>
    <w:rsid w:val="0BD46BAD"/>
    <w:rsid w:val="0BD87233"/>
    <w:rsid w:val="0BE120B2"/>
    <w:rsid w:val="0CEC43CA"/>
    <w:rsid w:val="0D50431A"/>
    <w:rsid w:val="0DF624E0"/>
    <w:rsid w:val="0E346850"/>
    <w:rsid w:val="0E404088"/>
    <w:rsid w:val="0E915B51"/>
    <w:rsid w:val="0EA113FA"/>
    <w:rsid w:val="0EC71F0D"/>
    <w:rsid w:val="0ECA11CC"/>
    <w:rsid w:val="0F390E8E"/>
    <w:rsid w:val="0F6459AD"/>
    <w:rsid w:val="0F8F57EF"/>
    <w:rsid w:val="0FBA55CD"/>
    <w:rsid w:val="0FC465FA"/>
    <w:rsid w:val="0FF97625"/>
    <w:rsid w:val="1018304A"/>
    <w:rsid w:val="102E5FAA"/>
    <w:rsid w:val="1057106E"/>
    <w:rsid w:val="110475FD"/>
    <w:rsid w:val="110F36F7"/>
    <w:rsid w:val="119066D9"/>
    <w:rsid w:val="11A335B5"/>
    <w:rsid w:val="1219428E"/>
    <w:rsid w:val="126A139D"/>
    <w:rsid w:val="13490C7D"/>
    <w:rsid w:val="135C3D02"/>
    <w:rsid w:val="13706422"/>
    <w:rsid w:val="13D52CCE"/>
    <w:rsid w:val="149F377F"/>
    <w:rsid w:val="14E27C21"/>
    <w:rsid w:val="1528240A"/>
    <w:rsid w:val="153B2049"/>
    <w:rsid w:val="15614DA8"/>
    <w:rsid w:val="15910B7E"/>
    <w:rsid w:val="15AD79BC"/>
    <w:rsid w:val="16066864"/>
    <w:rsid w:val="1694382D"/>
    <w:rsid w:val="16991EF7"/>
    <w:rsid w:val="173850A7"/>
    <w:rsid w:val="174C0AC9"/>
    <w:rsid w:val="1775133A"/>
    <w:rsid w:val="177B4CDC"/>
    <w:rsid w:val="17B84AE8"/>
    <w:rsid w:val="17BA7FA6"/>
    <w:rsid w:val="19241D0A"/>
    <w:rsid w:val="192B2CC7"/>
    <w:rsid w:val="198B1495"/>
    <w:rsid w:val="199E2FDC"/>
    <w:rsid w:val="1A6C248D"/>
    <w:rsid w:val="1AD05898"/>
    <w:rsid w:val="1AF45622"/>
    <w:rsid w:val="1B5A7D5C"/>
    <w:rsid w:val="1B7B26E1"/>
    <w:rsid w:val="1BBFA30C"/>
    <w:rsid w:val="1C1A0C17"/>
    <w:rsid w:val="1C1B456E"/>
    <w:rsid w:val="1C32741A"/>
    <w:rsid w:val="1C405AE5"/>
    <w:rsid w:val="1D960483"/>
    <w:rsid w:val="1DF15284"/>
    <w:rsid w:val="1F171CFB"/>
    <w:rsid w:val="1F3C13B6"/>
    <w:rsid w:val="1F4B49D6"/>
    <w:rsid w:val="1F7D4D4D"/>
    <w:rsid w:val="1FCD4EA9"/>
    <w:rsid w:val="1FF85069"/>
    <w:rsid w:val="20F41885"/>
    <w:rsid w:val="21993B18"/>
    <w:rsid w:val="219959F5"/>
    <w:rsid w:val="21D33866"/>
    <w:rsid w:val="220F79FB"/>
    <w:rsid w:val="22464B8D"/>
    <w:rsid w:val="229323DA"/>
    <w:rsid w:val="229A201B"/>
    <w:rsid w:val="22C205C9"/>
    <w:rsid w:val="233F1DB4"/>
    <w:rsid w:val="239974D6"/>
    <w:rsid w:val="23E266D0"/>
    <w:rsid w:val="23E4618A"/>
    <w:rsid w:val="244E3D8C"/>
    <w:rsid w:val="24B335CE"/>
    <w:rsid w:val="24F11BE1"/>
    <w:rsid w:val="25EF0E4B"/>
    <w:rsid w:val="266B32E1"/>
    <w:rsid w:val="269C26E3"/>
    <w:rsid w:val="27110C4C"/>
    <w:rsid w:val="272E2D63"/>
    <w:rsid w:val="27410CB9"/>
    <w:rsid w:val="27435A51"/>
    <w:rsid w:val="276D441A"/>
    <w:rsid w:val="27E014F2"/>
    <w:rsid w:val="2861396F"/>
    <w:rsid w:val="28B3692E"/>
    <w:rsid w:val="28B44010"/>
    <w:rsid w:val="29384EA8"/>
    <w:rsid w:val="29E26463"/>
    <w:rsid w:val="2A023B5C"/>
    <w:rsid w:val="2A07065D"/>
    <w:rsid w:val="2A0A08C3"/>
    <w:rsid w:val="2A534564"/>
    <w:rsid w:val="2A573A70"/>
    <w:rsid w:val="2CBD48CE"/>
    <w:rsid w:val="2CE211B2"/>
    <w:rsid w:val="2D686211"/>
    <w:rsid w:val="2D866ECD"/>
    <w:rsid w:val="2D8858D3"/>
    <w:rsid w:val="2E015B36"/>
    <w:rsid w:val="2E275F81"/>
    <w:rsid w:val="2E4E51C2"/>
    <w:rsid w:val="2E77681E"/>
    <w:rsid w:val="2EB01C1E"/>
    <w:rsid w:val="2EEF42B5"/>
    <w:rsid w:val="2F0E420F"/>
    <w:rsid w:val="2F4B2B19"/>
    <w:rsid w:val="2F6246CC"/>
    <w:rsid w:val="2FC53683"/>
    <w:rsid w:val="2FE97A5F"/>
    <w:rsid w:val="305A47DE"/>
    <w:rsid w:val="309E348C"/>
    <w:rsid w:val="31394322"/>
    <w:rsid w:val="3184082E"/>
    <w:rsid w:val="322019DE"/>
    <w:rsid w:val="32617B06"/>
    <w:rsid w:val="328304A8"/>
    <w:rsid w:val="32A1072C"/>
    <w:rsid w:val="32BC5F4D"/>
    <w:rsid w:val="32E17E07"/>
    <w:rsid w:val="33393656"/>
    <w:rsid w:val="33482D6D"/>
    <w:rsid w:val="337C1CD3"/>
    <w:rsid w:val="33FE364D"/>
    <w:rsid w:val="341E7746"/>
    <w:rsid w:val="3429115A"/>
    <w:rsid w:val="34325CD9"/>
    <w:rsid w:val="346113B3"/>
    <w:rsid w:val="34F2580B"/>
    <w:rsid w:val="35293643"/>
    <w:rsid w:val="36024564"/>
    <w:rsid w:val="36276335"/>
    <w:rsid w:val="36981B5D"/>
    <w:rsid w:val="36A9634B"/>
    <w:rsid w:val="36D079C8"/>
    <w:rsid w:val="37A1383F"/>
    <w:rsid w:val="37D716E7"/>
    <w:rsid w:val="38A7506F"/>
    <w:rsid w:val="38B0221C"/>
    <w:rsid w:val="390A4CE0"/>
    <w:rsid w:val="390D7082"/>
    <w:rsid w:val="39A552A4"/>
    <w:rsid w:val="39D761EF"/>
    <w:rsid w:val="39FC665F"/>
    <w:rsid w:val="3A76410D"/>
    <w:rsid w:val="3A8F3EBA"/>
    <w:rsid w:val="3AB10259"/>
    <w:rsid w:val="3ABA6222"/>
    <w:rsid w:val="3B301F44"/>
    <w:rsid w:val="3B7C3F98"/>
    <w:rsid w:val="3BAE4829"/>
    <w:rsid w:val="3BDF73C5"/>
    <w:rsid w:val="3C4944FC"/>
    <w:rsid w:val="3CD920E4"/>
    <w:rsid w:val="3D7C4A02"/>
    <w:rsid w:val="3D902D22"/>
    <w:rsid w:val="3DF4021A"/>
    <w:rsid w:val="3E047963"/>
    <w:rsid w:val="3E764841"/>
    <w:rsid w:val="3E8E5BBA"/>
    <w:rsid w:val="3E940046"/>
    <w:rsid w:val="3EB86069"/>
    <w:rsid w:val="3EDC10FF"/>
    <w:rsid w:val="3F0A5E23"/>
    <w:rsid w:val="3F1B1335"/>
    <w:rsid w:val="3F785608"/>
    <w:rsid w:val="3FFF20F3"/>
    <w:rsid w:val="402734A4"/>
    <w:rsid w:val="405A4873"/>
    <w:rsid w:val="405C30EF"/>
    <w:rsid w:val="407B3EBF"/>
    <w:rsid w:val="40DF693D"/>
    <w:rsid w:val="40F16A8E"/>
    <w:rsid w:val="412545BE"/>
    <w:rsid w:val="4184340D"/>
    <w:rsid w:val="418D344D"/>
    <w:rsid w:val="41E21275"/>
    <w:rsid w:val="42096BE2"/>
    <w:rsid w:val="424A7C1A"/>
    <w:rsid w:val="42D67AEC"/>
    <w:rsid w:val="42F6152E"/>
    <w:rsid w:val="42FF6CFF"/>
    <w:rsid w:val="43771108"/>
    <w:rsid w:val="438C4E1A"/>
    <w:rsid w:val="439D4A0F"/>
    <w:rsid w:val="4440126D"/>
    <w:rsid w:val="445F7604"/>
    <w:rsid w:val="446523D2"/>
    <w:rsid w:val="44DA0696"/>
    <w:rsid w:val="44E45943"/>
    <w:rsid w:val="44E80BF1"/>
    <w:rsid w:val="44FA1EB3"/>
    <w:rsid w:val="4583380E"/>
    <w:rsid w:val="45993146"/>
    <w:rsid w:val="45EB3538"/>
    <w:rsid w:val="46440499"/>
    <w:rsid w:val="46771AC0"/>
    <w:rsid w:val="47867C8A"/>
    <w:rsid w:val="47954A4A"/>
    <w:rsid w:val="479B001B"/>
    <w:rsid w:val="47D21CE6"/>
    <w:rsid w:val="481456B4"/>
    <w:rsid w:val="481B4154"/>
    <w:rsid w:val="48876507"/>
    <w:rsid w:val="48A14890"/>
    <w:rsid w:val="491F4A32"/>
    <w:rsid w:val="49441489"/>
    <w:rsid w:val="49AF3CE3"/>
    <w:rsid w:val="4A4C0CEF"/>
    <w:rsid w:val="4A67403B"/>
    <w:rsid w:val="4A734E79"/>
    <w:rsid w:val="4AD27698"/>
    <w:rsid w:val="4B1B114F"/>
    <w:rsid w:val="4B250368"/>
    <w:rsid w:val="4B7A75FA"/>
    <w:rsid w:val="4B7B52E3"/>
    <w:rsid w:val="4B7F6C9B"/>
    <w:rsid w:val="4BB01238"/>
    <w:rsid w:val="4BF93ABC"/>
    <w:rsid w:val="4C2F1AF1"/>
    <w:rsid w:val="4C3F1A69"/>
    <w:rsid w:val="4C4C7D4D"/>
    <w:rsid w:val="4C692E82"/>
    <w:rsid w:val="4C974380"/>
    <w:rsid w:val="4CA7336B"/>
    <w:rsid w:val="4D001539"/>
    <w:rsid w:val="4D060FF1"/>
    <w:rsid w:val="4D5B5816"/>
    <w:rsid w:val="4D714797"/>
    <w:rsid w:val="4D7809BA"/>
    <w:rsid w:val="4D820C8A"/>
    <w:rsid w:val="4D9F0EEA"/>
    <w:rsid w:val="4F095D32"/>
    <w:rsid w:val="4F1A4882"/>
    <w:rsid w:val="4F3C4DEC"/>
    <w:rsid w:val="4F6D0EC1"/>
    <w:rsid w:val="504900D3"/>
    <w:rsid w:val="50771B0C"/>
    <w:rsid w:val="52546BE0"/>
    <w:rsid w:val="52892F5B"/>
    <w:rsid w:val="52F61709"/>
    <w:rsid w:val="54073585"/>
    <w:rsid w:val="546C1E15"/>
    <w:rsid w:val="54995B0C"/>
    <w:rsid w:val="54DB7C79"/>
    <w:rsid w:val="54E74E26"/>
    <w:rsid w:val="55555915"/>
    <w:rsid w:val="55580A4D"/>
    <w:rsid w:val="55B45B96"/>
    <w:rsid w:val="55C3622E"/>
    <w:rsid w:val="55DC1770"/>
    <w:rsid w:val="55EB22AC"/>
    <w:rsid w:val="55F939EF"/>
    <w:rsid w:val="561133F2"/>
    <w:rsid w:val="56571FFA"/>
    <w:rsid w:val="56A92CC7"/>
    <w:rsid w:val="574C1A20"/>
    <w:rsid w:val="575E68C3"/>
    <w:rsid w:val="57C77E54"/>
    <w:rsid w:val="58BD10F2"/>
    <w:rsid w:val="58CD33C2"/>
    <w:rsid w:val="596469D4"/>
    <w:rsid w:val="5A435D8A"/>
    <w:rsid w:val="5B0CF2D3"/>
    <w:rsid w:val="5B7B30F8"/>
    <w:rsid w:val="5BBC1D09"/>
    <w:rsid w:val="5C34380B"/>
    <w:rsid w:val="5CFC6999"/>
    <w:rsid w:val="5D4F6922"/>
    <w:rsid w:val="5D543F38"/>
    <w:rsid w:val="5F59510D"/>
    <w:rsid w:val="5F912AC4"/>
    <w:rsid w:val="5F9858C8"/>
    <w:rsid w:val="5FD14724"/>
    <w:rsid w:val="60387705"/>
    <w:rsid w:val="60700F30"/>
    <w:rsid w:val="607B7DDA"/>
    <w:rsid w:val="61665FE8"/>
    <w:rsid w:val="61A76748"/>
    <w:rsid w:val="62B731FE"/>
    <w:rsid w:val="62C57FA7"/>
    <w:rsid w:val="63023C80"/>
    <w:rsid w:val="636D3AA1"/>
    <w:rsid w:val="6428614D"/>
    <w:rsid w:val="64F22548"/>
    <w:rsid w:val="656062CA"/>
    <w:rsid w:val="659106E2"/>
    <w:rsid w:val="65AB236D"/>
    <w:rsid w:val="65B8080F"/>
    <w:rsid w:val="662F4186"/>
    <w:rsid w:val="663568D1"/>
    <w:rsid w:val="66483EC5"/>
    <w:rsid w:val="66704DB4"/>
    <w:rsid w:val="66FF3B3B"/>
    <w:rsid w:val="67102453"/>
    <w:rsid w:val="67AB0BF9"/>
    <w:rsid w:val="68A67F29"/>
    <w:rsid w:val="68C15CCA"/>
    <w:rsid w:val="69157D90"/>
    <w:rsid w:val="692D45F0"/>
    <w:rsid w:val="697D619C"/>
    <w:rsid w:val="69EE3D79"/>
    <w:rsid w:val="6A0E091D"/>
    <w:rsid w:val="6ABA50AD"/>
    <w:rsid w:val="6B58725B"/>
    <w:rsid w:val="6BA77929"/>
    <w:rsid w:val="6BA94127"/>
    <w:rsid w:val="6BFE46EA"/>
    <w:rsid w:val="6C7F53F2"/>
    <w:rsid w:val="6C8B20CC"/>
    <w:rsid w:val="6C95A85E"/>
    <w:rsid w:val="6CA83959"/>
    <w:rsid w:val="6D0843F7"/>
    <w:rsid w:val="6D9C4396"/>
    <w:rsid w:val="6F1ECFF8"/>
    <w:rsid w:val="6F854425"/>
    <w:rsid w:val="704217E5"/>
    <w:rsid w:val="71106C43"/>
    <w:rsid w:val="71152000"/>
    <w:rsid w:val="715841AA"/>
    <w:rsid w:val="721756F7"/>
    <w:rsid w:val="7231680E"/>
    <w:rsid w:val="72896870"/>
    <w:rsid w:val="72F84F0E"/>
    <w:rsid w:val="73812382"/>
    <w:rsid w:val="74F46D84"/>
    <w:rsid w:val="750872E0"/>
    <w:rsid w:val="756920F3"/>
    <w:rsid w:val="75E1007B"/>
    <w:rsid w:val="7656661E"/>
    <w:rsid w:val="76ED37EF"/>
    <w:rsid w:val="770F21D1"/>
    <w:rsid w:val="77EF4493"/>
    <w:rsid w:val="78A7019A"/>
    <w:rsid w:val="78C06712"/>
    <w:rsid w:val="78E937E2"/>
    <w:rsid w:val="795310F0"/>
    <w:rsid w:val="796B51A8"/>
    <w:rsid w:val="79A44384"/>
    <w:rsid w:val="79BA3B0E"/>
    <w:rsid w:val="7ABB6962"/>
    <w:rsid w:val="7AF4539C"/>
    <w:rsid w:val="7B4C1DFF"/>
    <w:rsid w:val="7C013D85"/>
    <w:rsid w:val="7C2F8C70"/>
    <w:rsid w:val="7C662C4B"/>
    <w:rsid w:val="7C665334"/>
    <w:rsid w:val="7CF35D84"/>
    <w:rsid w:val="7D022A64"/>
    <w:rsid w:val="7DB40A20"/>
    <w:rsid w:val="7DDF36B2"/>
    <w:rsid w:val="7E136A50"/>
    <w:rsid w:val="7E49765A"/>
    <w:rsid w:val="7E4C0FEB"/>
    <w:rsid w:val="7EBB50F1"/>
    <w:rsid w:val="7EBE0C5A"/>
    <w:rsid w:val="7EE56270"/>
    <w:rsid w:val="7EFB3C47"/>
    <w:rsid w:val="7F7F569C"/>
    <w:rsid w:val="7F7F68A4"/>
    <w:rsid w:val="7F850ECB"/>
    <w:rsid w:val="7F9F1736"/>
    <w:rsid w:val="7FD31A01"/>
    <w:rsid w:val="7FFB101A"/>
    <w:rsid w:val="9BF96BAC"/>
    <w:rsid w:val="AD2DA3B9"/>
    <w:rsid w:val="AF6FE06F"/>
    <w:rsid w:val="D78F6FBA"/>
    <w:rsid w:val="DBDF55C4"/>
    <w:rsid w:val="DF3D59C8"/>
    <w:rsid w:val="EBFFC059"/>
    <w:rsid w:val="EEF1341C"/>
    <w:rsid w:val="F7B9D6FD"/>
    <w:rsid w:val="F7CC7425"/>
    <w:rsid w:val="FAEC74ED"/>
    <w:rsid w:val="FE93A17C"/>
    <w:rsid w:val="FEFF2685"/>
    <w:rsid w:val="FFD23C0D"/>
    <w:rsid w:val="FFEFE6BF"/>
    <w:rsid w:val="FFF59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3"/>
    <w:autoRedefine/>
    <w:qFormat/>
    <w:uiPriority w:val="0"/>
    <w:pPr>
      <w:keepNext/>
      <w:outlineLvl w:val="0"/>
    </w:pPr>
    <w:rPr>
      <w:sz w:val="28"/>
      <w:szCs w:val="24"/>
    </w:rPr>
  </w:style>
  <w:style w:type="paragraph" w:styleId="3">
    <w:name w:val="heading 2"/>
    <w:basedOn w:val="1"/>
    <w:next w:val="1"/>
    <w:link w:val="103"/>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link w:val="55"/>
    <w:autoRedefine/>
    <w:qFormat/>
    <w:uiPriority w:val="0"/>
    <w:pPr>
      <w:keepNext/>
      <w:keepLines/>
      <w:spacing w:before="260" w:after="260" w:line="416" w:lineRule="auto"/>
      <w:outlineLvl w:val="2"/>
    </w:pPr>
    <w:rPr>
      <w:b/>
      <w:bCs/>
      <w:sz w:val="32"/>
      <w:szCs w:val="32"/>
      <w:lang w:val="zh-CN"/>
    </w:rPr>
  </w:style>
  <w:style w:type="paragraph" w:styleId="5">
    <w:name w:val="heading 4"/>
    <w:basedOn w:val="1"/>
    <w:next w:val="1"/>
    <w:link w:val="56"/>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qFormat/>
    <w:uiPriority w:val="0"/>
    <w:pPr>
      <w:ind w:left="2520" w:leftChars="1200"/>
    </w:pPr>
  </w:style>
  <w:style w:type="paragraph" w:styleId="7">
    <w:name w:val="caption"/>
    <w:basedOn w:val="1"/>
    <w:next w:val="1"/>
    <w:autoRedefine/>
    <w:qFormat/>
    <w:uiPriority w:val="0"/>
    <w:rPr>
      <w:rFonts w:ascii="Arial" w:hAnsi="Arial" w:eastAsia="黑体"/>
      <w:sz w:val="20"/>
    </w:rPr>
  </w:style>
  <w:style w:type="paragraph" w:styleId="8">
    <w:name w:val="Document Map"/>
    <w:basedOn w:val="1"/>
    <w:link w:val="80"/>
    <w:autoRedefine/>
    <w:qFormat/>
    <w:uiPriority w:val="0"/>
    <w:pPr>
      <w:shd w:val="clear" w:color="auto" w:fill="000080"/>
    </w:pPr>
  </w:style>
  <w:style w:type="paragraph" w:styleId="9">
    <w:name w:val="annotation text"/>
    <w:basedOn w:val="1"/>
    <w:link w:val="74"/>
    <w:autoRedefine/>
    <w:semiHidden/>
    <w:qFormat/>
    <w:uiPriority w:val="99"/>
    <w:pPr>
      <w:jc w:val="left"/>
    </w:pPr>
  </w:style>
  <w:style w:type="paragraph" w:styleId="10">
    <w:name w:val="Body Text 3"/>
    <w:basedOn w:val="1"/>
    <w:link w:val="95"/>
    <w:autoRedefine/>
    <w:unhideWhenUsed/>
    <w:qFormat/>
    <w:uiPriority w:val="99"/>
    <w:pPr>
      <w:spacing w:after="120"/>
    </w:pPr>
    <w:rPr>
      <w:rFonts w:ascii="Calibri" w:hAnsi="Calibri"/>
      <w:sz w:val="16"/>
      <w:szCs w:val="16"/>
      <w:lang w:val="zh-CN"/>
    </w:rPr>
  </w:style>
  <w:style w:type="paragraph" w:styleId="11">
    <w:name w:val="Body Text"/>
    <w:basedOn w:val="1"/>
    <w:next w:val="12"/>
    <w:link w:val="69"/>
    <w:autoRedefine/>
    <w:qFormat/>
    <w:uiPriority w:val="0"/>
    <w:pPr>
      <w:spacing w:after="120"/>
    </w:pPr>
    <w:rPr>
      <w:szCs w:val="24"/>
    </w:rPr>
  </w:style>
  <w:style w:type="paragraph" w:styleId="12">
    <w:name w:val="Date"/>
    <w:basedOn w:val="1"/>
    <w:next w:val="1"/>
    <w:link w:val="57"/>
    <w:autoRedefine/>
    <w:qFormat/>
    <w:uiPriority w:val="0"/>
    <w:rPr>
      <w:rFonts w:ascii="Arial" w:hAnsi="Arial" w:eastAsia="楷体_GB2312"/>
      <w:sz w:val="28"/>
    </w:rPr>
  </w:style>
  <w:style w:type="paragraph" w:styleId="13">
    <w:name w:val="Body Text Indent"/>
    <w:basedOn w:val="1"/>
    <w:next w:val="14"/>
    <w:link w:val="58"/>
    <w:autoRedefine/>
    <w:qFormat/>
    <w:uiPriority w:val="0"/>
    <w:pPr>
      <w:ind w:firstLine="540"/>
    </w:pPr>
    <w:rPr>
      <w:rFonts w:eastAsia="仿宋_GB2312"/>
      <w:sz w:val="28"/>
    </w:rPr>
  </w:style>
  <w:style w:type="paragraph" w:styleId="14">
    <w:name w:val="annotation subject"/>
    <w:basedOn w:val="9"/>
    <w:next w:val="1"/>
    <w:link w:val="75"/>
    <w:autoRedefine/>
    <w:semiHidden/>
    <w:qFormat/>
    <w:uiPriority w:val="99"/>
    <w:rPr>
      <w:b/>
      <w:bCs/>
    </w:rPr>
  </w:style>
  <w:style w:type="paragraph" w:styleId="15">
    <w:name w:val="toc 5"/>
    <w:basedOn w:val="1"/>
    <w:next w:val="1"/>
    <w:autoRedefine/>
    <w:qFormat/>
    <w:uiPriority w:val="0"/>
    <w:pPr>
      <w:ind w:left="1680" w:leftChars="800"/>
    </w:pPr>
  </w:style>
  <w:style w:type="paragraph" w:styleId="16">
    <w:name w:val="toc 3"/>
    <w:basedOn w:val="1"/>
    <w:next w:val="1"/>
    <w:autoRedefine/>
    <w:qFormat/>
    <w:uiPriority w:val="39"/>
    <w:pPr>
      <w:ind w:left="840" w:leftChars="400"/>
    </w:pPr>
  </w:style>
  <w:style w:type="paragraph" w:styleId="17">
    <w:name w:val="Plain Text"/>
    <w:basedOn w:val="1"/>
    <w:link w:val="77"/>
    <w:autoRedefine/>
    <w:qFormat/>
    <w:uiPriority w:val="0"/>
    <w:rPr>
      <w:rFonts w:ascii="宋体" w:hAnsi="Courier New" w:cstheme="minorBidi"/>
      <w:szCs w:val="22"/>
    </w:rPr>
  </w:style>
  <w:style w:type="paragraph" w:styleId="18">
    <w:name w:val="toc 8"/>
    <w:basedOn w:val="1"/>
    <w:next w:val="1"/>
    <w:autoRedefine/>
    <w:qFormat/>
    <w:uiPriority w:val="0"/>
    <w:pPr>
      <w:ind w:left="2940" w:leftChars="1400"/>
    </w:pPr>
  </w:style>
  <w:style w:type="paragraph" w:styleId="19">
    <w:name w:val="Body Text Indent 2"/>
    <w:basedOn w:val="1"/>
    <w:link w:val="60"/>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1"/>
    <w:autoRedefine/>
    <w:qFormat/>
    <w:uiPriority w:val="0"/>
    <w:rPr>
      <w:sz w:val="18"/>
      <w:szCs w:val="18"/>
    </w:rPr>
  </w:style>
  <w:style w:type="paragraph" w:styleId="21">
    <w:name w:val="footer"/>
    <w:basedOn w:val="1"/>
    <w:link w:val="52"/>
    <w:autoRedefine/>
    <w:unhideWhenUsed/>
    <w:qFormat/>
    <w:uiPriority w:val="99"/>
    <w:pPr>
      <w:tabs>
        <w:tab w:val="center" w:pos="4153"/>
        <w:tab w:val="right" w:pos="8306"/>
      </w:tabs>
      <w:snapToGrid w:val="0"/>
      <w:jc w:val="left"/>
    </w:pPr>
    <w:rPr>
      <w:sz w:val="18"/>
      <w:szCs w:val="18"/>
    </w:rPr>
  </w:style>
  <w:style w:type="paragraph" w:styleId="22">
    <w:name w:val="envelope return"/>
    <w:basedOn w:val="1"/>
    <w:autoRedefine/>
    <w:qFormat/>
    <w:uiPriority w:val="0"/>
    <w:pPr>
      <w:snapToGrid w:val="0"/>
    </w:pPr>
    <w:rPr>
      <w:rFonts w:ascii="Arial" w:hAnsi="Arial"/>
    </w:rPr>
  </w:style>
  <w:style w:type="paragraph" w:styleId="23">
    <w:name w:val="header"/>
    <w:basedOn w:val="1"/>
    <w:link w:val="5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toc 4"/>
    <w:basedOn w:val="1"/>
    <w:next w:val="1"/>
    <w:autoRedefine/>
    <w:qFormat/>
    <w:uiPriority w:val="0"/>
    <w:pPr>
      <w:ind w:left="1260" w:leftChars="600"/>
    </w:pPr>
  </w:style>
  <w:style w:type="paragraph" w:styleId="26">
    <w:name w:val="toc 6"/>
    <w:basedOn w:val="1"/>
    <w:next w:val="1"/>
    <w:autoRedefine/>
    <w:qFormat/>
    <w:uiPriority w:val="0"/>
    <w:pPr>
      <w:ind w:left="2100" w:leftChars="1000"/>
    </w:pPr>
  </w:style>
  <w:style w:type="paragraph" w:styleId="27">
    <w:name w:val="Body Text Indent 3"/>
    <w:basedOn w:val="1"/>
    <w:link w:val="66"/>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Body Text First Indent"/>
    <w:basedOn w:val="11"/>
    <w:next w:val="34"/>
    <w:autoRedefine/>
    <w:unhideWhenUsed/>
    <w:qFormat/>
    <w:uiPriority w:val="99"/>
    <w:pPr>
      <w:spacing w:line="400" w:lineRule="atLeast"/>
      <w:ind w:firstLine="426"/>
    </w:pPr>
    <w:rPr>
      <w:sz w:val="24"/>
      <w:szCs w:val="20"/>
    </w:rPr>
  </w:style>
  <w:style w:type="paragraph" w:styleId="34">
    <w:name w:val="Body Text First Indent 2"/>
    <w:basedOn w:val="13"/>
    <w:next w:val="1"/>
    <w:autoRedefine/>
    <w:qFormat/>
    <w:uiPriority w:val="0"/>
    <w:pPr>
      <w:ind w:left="420" w:firstLine="420" w:firstLineChars="200"/>
    </w:pPr>
    <w:rPr>
      <w:rFonts w:ascii="Calibri" w:hAnsi="Calibri" w:eastAsia="宋体" w:cs="Times New Roman"/>
    </w:rPr>
  </w:style>
  <w:style w:type="table" w:styleId="36">
    <w:name w:val="Table Grid"/>
    <w:basedOn w:val="3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autoRedefine/>
    <w:qFormat/>
    <w:uiPriority w:val="0"/>
    <w:rPr>
      <w:b/>
    </w:rPr>
  </w:style>
  <w:style w:type="character" w:styleId="39">
    <w:name w:val="page number"/>
    <w:basedOn w:val="37"/>
    <w:autoRedefine/>
    <w:qFormat/>
    <w:uiPriority w:val="0"/>
  </w:style>
  <w:style w:type="character" w:styleId="40">
    <w:name w:val="FollowedHyperlink"/>
    <w:basedOn w:val="37"/>
    <w:autoRedefine/>
    <w:unhideWhenUsed/>
    <w:qFormat/>
    <w:uiPriority w:val="99"/>
    <w:rPr>
      <w:color w:val="954F72" w:themeColor="followedHyperlink"/>
      <w:u w:val="single"/>
      <w14:textFill>
        <w14:solidFill>
          <w14:schemeClr w14:val="folHlink"/>
        </w14:solidFill>
      </w14:textFill>
    </w:rPr>
  </w:style>
  <w:style w:type="character" w:styleId="41">
    <w:name w:val="HTML Definition"/>
    <w:basedOn w:val="37"/>
    <w:autoRedefine/>
    <w:semiHidden/>
    <w:unhideWhenUsed/>
    <w:qFormat/>
    <w:uiPriority w:val="99"/>
  </w:style>
  <w:style w:type="character" w:styleId="42">
    <w:name w:val="HTML Typewriter"/>
    <w:basedOn w:val="37"/>
    <w:autoRedefine/>
    <w:semiHidden/>
    <w:unhideWhenUsed/>
    <w:qFormat/>
    <w:uiPriority w:val="99"/>
    <w:rPr>
      <w:rFonts w:hint="default" w:ascii="monospace" w:hAnsi="monospace" w:eastAsia="monospace" w:cs="monospace"/>
      <w:sz w:val="20"/>
    </w:rPr>
  </w:style>
  <w:style w:type="character" w:styleId="43">
    <w:name w:val="HTML Acronym"/>
    <w:basedOn w:val="37"/>
    <w:autoRedefine/>
    <w:semiHidden/>
    <w:unhideWhenUsed/>
    <w:qFormat/>
    <w:uiPriority w:val="99"/>
  </w:style>
  <w:style w:type="character" w:styleId="44">
    <w:name w:val="HTML Variable"/>
    <w:basedOn w:val="37"/>
    <w:autoRedefine/>
    <w:semiHidden/>
    <w:unhideWhenUsed/>
    <w:qFormat/>
    <w:uiPriority w:val="99"/>
  </w:style>
  <w:style w:type="character" w:styleId="45">
    <w:name w:val="Hyperlink"/>
    <w:basedOn w:val="37"/>
    <w:autoRedefine/>
    <w:qFormat/>
    <w:uiPriority w:val="99"/>
    <w:rPr>
      <w:color w:val="333333"/>
      <w:u w:val="none"/>
    </w:rPr>
  </w:style>
  <w:style w:type="character" w:styleId="46">
    <w:name w:val="HTML Code"/>
    <w:basedOn w:val="37"/>
    <w:autoRedefine/>
    <w:semiHidden/>
    <w:unhideWhenUsed/>
    <w:qFormat/>
    <w:uiPriority w:val="99"/>
    <w:rPr>
      <w:rFonts w:ascii="monospace" w:hAnsi="monospace" w:eastAsia="monospace" w:cs="monospace"/>
      <w:sz w:val="20"/>
    </w:rPr>
  </w:style>
  <w:style w:type="character" w:styleId="47">
    <w:name w:val="annotation reference"/>
    <w:autoRedefine/>
    <w:semiHidden/>
    <w:qFormat/>
    <w:uiPriority w:val="99"/>
    <w:rPr>
      <w:sz w:val="21"/>
      <w:szCs w:val="21"/>
    </w:rPr>
  </w:style>
  <w:style w:type="character" w:styleId="48">
    <w:name w:val="HTML Cite"/>
    <w:basedOn w:val="37"/>
    <w:autoRedefine/>
    <w:semiHidden/>
    <w:unhideWhenUsed/>
    <w:qFormat/>
    <w:uiPriority w:val="99"/>
  </w:style>
  <w:style w:type="character" w:styleId="49">
    <w:name w:val="HTML Keyboard"/>
    <w:basedOn w:val="37"/>
    <w:autoRedefine/>
    <w:semiHidden/>
    <w:unhideWhenUsed/>
    <w:qFormat/>
    <w:uiPriority w:val="99"/>
    <w:rPr>
      <w:rFonts w:hint="default" w:ascii="monospace" w:hAnsi="monospace" w:eastAsia="monospace" w:cs="monospace"/>
      <w:sz w:val="20"/>
    </w:rPr>
  </w:style>
  <w:style w:type="character" w:styleId="50">
    <w:name w:val="HTML Sample"/>
    <w:basedOn w:val="37"/>
    <w:autoRedefine/>
    <w:semiHidden/>
    <w:unhideWhenUsed/>
    <w:qFormat/>
    <w:uiPriority w:val="99"/>
    <w:rPr>
      <w:rFonts w:hint="default" w:ascii="monospace" w:hAnsi="monospace" w:eastAsia="monospace" w:cs="monospace"/>
    </w:rPr>
  </w:style>
  <w:style w:type="character" w:customStyle="1" w:styleId="51">
    <w:name w:val="页眉 字符"/>
    <w:basedOn w:val="37"/>
    <w:link w:val="23"/>
    <w:autoRedefine/>
    <w:qFormat/>
    <w:uiPriority w:val="0"/>
    <w:rPr>
      <w:sz w:val="18"/>
      <w:szCs w:val="18"/>
    </w:rPr>
  </w:style>
  <w:style w:type="character" w:customStyle="1" w:styleId="52">
    <w:name w:val="页脚 字符"/>
    <w:basedOn w:val="37"/>
    <w:link w:val="21"/>
    <w:autoRedefine/>
    <w:qFormat/>
    <w:uiPriority w:val="99"/>
    <w:rPr>
      <w:sz w:val="18"/>
      <w:szCs w:val="18"/>
    </w:rPr>
  </w:style>
  <w:style w:type="character" w:customStyle="1" w:styleId="53">
    <w:name w:val="标题 1 字符"/>
    <w:basedOn w:val="37"/>
    <w:link w:val="2"/>
    <w:autoRedefine/>
    <w:qFormat/>
    <w:uiPriority w:val="0"/>
    <w:rPr>
      <w:rFonts w:ascii="Times New Roman" w:hAnsi="Times New Roman" w:eastAsia="宋体" w:cs="Times New Roman"/>
      <w:sz w:val="28"/>
      <w:szCs w:val="24"/>
    </w:rPr>
  </w:style>
  <w:style w:type="character" w:customStyle="1" w:styleId="54">
    <w:name w:val="标题 2 Char"/>
    <w:basedOn w:val="37"/>
    <w:autoRedefine/>
    <w:qFormat/>
    <w:uiPriority w:val="0"/>
    <w:rPr>
      <w:rFonts w:ascii="Arial" w:hAnsi="Arial" w:eastAsia="黑体" w:cs="Times New Roman"/>
      <w:b/>
      <w:kern w:val="0"/>
      <w:sz w:val="32"/>
      <w:szCs w:val="20"/>
    </w:rPr>
  </w:style>
  <w:style w:type="character" w:customStyle="1" w:styleId="55">
    <w:name w:val="标题 3 字符"/>
    <w:basedOn w:val="37"/>
    <w:link w:val="4"/>
    <w:autoRedefine/>
    <w:qFormat/>
    <w:uiPriority w:val="0"/>
    <w:rPr>
      <w:rFonts w:ascii="Times New Roman" w:hAnsi="Times New Roman" w:eastAsia="宋体" w:cs="Times New Roman"/>
      <w:b/>
      <w:bCs/>
      <w:sz w:val="32"/>
      <w:szCs w:val="32"/>
      <w:lang w:val="zh-CN" w:eastAsia="zh-CN"/>
    </w:rPr>
  </w:style>
  <w:style w:type="character" w:customStyle="1" w:styleId="56">
    <w:name w:val="标题 4 字符"/>
    <w:basedOn w:val="37"/>
    <w:link w:val="5"/>
    <w:autoRedefine/>
    <w:qFormat/>
    <w:uiPriority w:val="0"/>
    <w:rPr>
      <w:rFonts w:ascii="Arial" w:hAnsi="Arial" w:eastAsia="黑体" w:cs="Times New Roman"/>
      <w:b/>
      <w:kern w:val="0"/>
      <w:sz w:val="28"/>
      <w:szCs w:val="20"/>
    </w:rPr>
  </w:style>
  <w:style w:type="character" w:customStyle="1" w:styleId="57">
    <w:name w:val="日期 字符"/>
    <w:basedOn w:val="37"/>
    <w:link w:val="12"/>
    <w:autoRedefine/>
    <w:qFormat/>
    <w:uiPriority w:val="0"/>
    <w:rPr>
      <w:rFonts w:ascii="Arial" w:hAnsi="Arial" w:eastAsia="楷体_GB2312" w:cs="Times New Roman"/>
      <w:sz w:val="28"/>
      <w:szCs w:val="20"/>
    </w:rPr>
  </w:style>
  <w:style w:type="character" w:customStyle="1" w:styleId="58">
    <w:name w:val="正文文本缩进 字符"/>
    <w:basedOn w:val="37"/>
    <w:link w:val="13"/>
    <w:autoRedefine/>
    <w:qFormat/>
    <w:uiPriority w:val="0"/>
    <w:rPr>
      <w:rFonts w:ascii="Times New Roman" w:hAnsi="Times New Roman" w:eastAsia="仿宋_GB2312" w:cs="Times New Roman"/>
      <w:sz w:val="28"/>
      <w:szCs w:val="20"/>
    </w:rPr>
  </w:style>
  <w:style w:type="paragraph" w:customStyle="1" w:styleId="59">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0">
    <w:name w:val="正文文本缩进 2 字符"/>
    <w:basedOn w:val="37"/>
    <w:link w:val="19"/>
    <w:autoRedefine/>
    <w:qFormat/>
    <w:uiPriority w:val="0"/>
    <w:rPr>
      <w:rFonts w:ascii="Times New Roman" w:hAnsi="Times New Roman" w:eastAsia="仿宋_GB2312" w:cs="Times New Roman"/>
      <w:sz w:val="28"/>
      <w:szCs w:val="20"/>
    </w:rPr>
  </w:style>
  <w:style w:type="paragraph" w:customStyle="1" w:styleId="61">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2">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3">
    <w:name w:val="样式 标题 2 + 宋体 五号 行距: 单倍行距"/>
    <w:basedOn w:val="3"/>
    <w:autoRedefine/>
    <w:qFormat/>
    <w:uiPriority w:val="0"/>
    <w:pPr>
      <w:spacing w:line="240" w:lineRule="auto"/>
    </w:pPr>
    <w:rPr>
      <w:rFonts w:ascii="宋体" w:hAnsi="宋体" w:eastAsia="宋体"/>
      <w:sz w:val="21"/>
    </w:rPr>
  </w:style>
  <w:style w:type="paragraph" w:customStyle="1" w:styleId="64">
    <w:name w:val="Char Char Char Char Char"/>
    <w:basedOn w:val="1"/>
    <w:autoRedefine/>
    <w:qFormat/>
    <w:uiPriority w:val="0"/>
    <w:rPr>
      <w:rFonts w:ascii="Tahoma" w:hAnsi="Tahoma"/>
      <w:sz w:val="24"/>
    </w:rPr>
  </w:style>
  <w:style w:type="paragraph" w:customStyle="1" w:styleId="65">
    <w:name w:val="Char"/>
    <w:basedOn w:val="1"/>
    <w:autoRedefine/>
    <w:qFormat/>
    <w:uiPriority w:val="0"/>
    <w:rPr>
      <w:rFonts w:ascii="Tahoma" w:hAnsi="Tahoma"/>
      <w:sz w:val="24"/>
    </w:rPr>
  </w:style>
  <w:style w:type="character" w:customStyle="1" w:styleId="66">
    <w:name w:val="正文文本缩进 3 字符"/>
    <w:basedOn w:val="37"/>
    <w:link w:val="27"/>
    <w:autoRedefine/>
    <w:qFormat/>
    <w:uiPriority w:val="0"/>
    <w:rPr>
      <w:rFonts w:ascii="仿宋_GB2312" w:hAnsi="Arial" w:eastAsia="仿宋_GB2312" w:cs="Times New Roman"/>
      <w:sz w:val="28"/>
      <w:szCs w:val="24"/>
    </w:rPr>
  </w:style>
  <w:style w:type="paragraph" w:customStyle="1" w:styleId="67">
    <w:name w:val="Char1"/>
    <w:basedOn w:val="1"/>
    <w:autoRedefine/>
    <w:qFormat/>
    <w:uiPriority w:val="0"/>
    <w:rPr>
      <w:rFonts w:ascii="Tahoma" w:hAnsi="Tahoma" w:eastAsia="仿宋_GB2312"/>
      <w:sz w:val="24"/>
    </w:rPr>
  </w:style>
  <w:style w:type="paragraph" w:customStyle="1" w:styleId="68">
    <w:name w:val="Char Char Char Char Char Char Char1 Char"/>
    <w:basedOn w:val="1"/>
    <w:autoRedefine/>
    <w:qFormat/>
    <w:uiPriority w:val="0"/>
    <w:rPr>
      <w:rFonts w:ascii="Tahoma" w:hAnsi="Tahoma"/>
      <w:sz w:val="24"/>
    </w:rPr>
  </w:style>
  <w:style w:type="character" w:customStyle="1" w:styleId="69">
    <w:name w:val="正文文本 字符"/>
    <w:basedOn w:val="37"/>
    <w:link w:val="11"/>
    <w:autoRedefine/>
    <w:qFormat/>
    <w:uiPriority w:val="0"/>
    <w:rPr>
      <w:rFonts w:ascii="Times New Roman" w:hAnsi="Times New Roman" w:eastAsia="宋体" w:cs="Times New Roman"/>
      <w:szCs w:val="24"/>
    </w:rPr>
  </w:style>
  <w:style w:type="paragraph" w:customStyle="1" w:styleId="70">
    <w:name w:val="Char Char Char Char"/>
    <w:basedOn w:val="1"/>
    <w:next w:val="1"/>
    <w:autoRedefine/>
    <w:qFormat/>
    <w:uiPriority w:val="0"/>
    <w:pPr>
      <w:widowControl/>
      <w:spacing w:line="360" w:lineRule="auto"/>
      <w:jc w:val="left"/>
    </w:pPr>
  </w:style>
  <w:style w:type="character" w:customStyle="1" w:styleId="71">
    <w:name w:val="批注框文本 字符"/>
    <w:basedOn w:val="37"/>
    <w:link w:val="20"/>
    <w:autoRedefine/>
    <w:qFormat/>
    <w:uiPriority w:val="0"/>
    <w:rPr>
      <w:rFonts w:ascii="Times New Roman" w:hAnsi="Times New Roman" w:eastAsia="宋体" w:cs="Times New Roman"/>
      <w:sz w:val="18"/>
      <w:szCs w:val="18"/>
    </w:rPr>
  </w:style>
  <w:style w:type="paragraph" w:customStyle="1" w:styleId="72">
    <w:name w:val="Char Char Char"/>
    <w:basedOn w:val="1"/>
    <w:autoRedefine/>
    <w:qFormat/>
    <w:uiPriority w:val="0"/>
    <w:rPr>
      <w:rFonts w:ascii="Tahoma" w:hAnsi="Tahoma"/>
      <w:sz w:val="24"/>
    </w:rPr>
  </w:style>
  <w:style w:type="paragraph" w:customStyle="1" w:styleId="73">
    <w:name w:val="Char Char Char Char Char Char Char Char Char Char"/>
    <w:basedOn w:val="1"/>
    <w:autoRedefine/>
    <w:qFormat/>
    <w:uiPriority w:val="0"/>
    <w:rPr>
      <w:rFonts w:ascii="Tahoma" w:hAnsi="Tahoma" w:cs="仿宋_GB2312"/>
      <w:sz w:val="24"/>
    </w:rPr>
  </w:style>
  <w:style w:type="character" w:customStyle="1" w:styleId="74">
    <w:name w:val="批注文字 字符"/>
    <w:basedOn w:val="37"/>
    <w:link w:val="9"/>
    <w:autoRedefine/>
    <w:semiHidden/>
    <w:qFormat/>
    <w:uiPriority w:val="99"/>
    <w:rPr>
      <w:rFonts w:ascii="Times New Roman" w:hAnsi="Times New Roman" w:eastAsia="宋体" w:cs="Times New Roman"/>
      <w:szCs w:val="20"/>
    </w:rPr>
  </w:style>
  <w:style w:type="character" w:customStyle="1" w:styleId="75">
    <w:name w:val="批注主题 字符"/>
    <w:basedOn w:val="74"/>
    <w:link w:val="14"/>
    <w:autoRedefine/>
    <w:semiHidden/>
    <w:qFormat/>
    <w:uiPriority w:val="99"/>
    <w:rPr>
      <w:rFonts w:ascii="Times New Roman" w:hAnsi="Times New Roman" w:eastAsia="宋体" w:cs="Times New Roman"/>
      <w:b/>
      <w:bCs/>
      <w:szCs w:val="20"/>
    </w:rPr>
  </w:style>
  <w:style w:type="paragraph" w:customStyle="1" w:styleId="76">
    <w:name w:val="Char Char Char Char Char Char"/>
    <w:basedOn w:val="1"/>
    <w:autoRedefine/>
    <w:qFormat/>
    <w:uiPriority w:val="0"/>
  </w:style>
  <w:style w:type="character" w:customStyle="1" w:styleId="77">
    <w:name w:val="纯文本 字符"/>
    <w:link w:val="17"/>
    <w:autoRedefine/>
    <w:qFormat/>
    <w:uiPriority w:val="0"/>
    <w:rPr>
      <w:rFonts w:ascii="宋体" w:hAnsi="Courier New" w:eastAsia="宋体"/>
    </w:rPr>
  </w:style>
  <w:style w:type="character" w:customStyle="1" w:styleId="78">
    <w:name w:val="纯文本 Char1"/>
    <w:basedOn w:val="37"/>
    <w:autoRedefine/>
    <w:semiHidden/>
    <w:qFormat/>
    <w:uiPriority w:val="99"/>
    <w:rPr>
      <w:rFonts w:ascii="宋体" w:hAnsi="Courier New" w:eastAsia="宋体" w:cs="Courier New"/>
      <w:szCs w:val="21"/>
    </w:rPr>
  </w:style>
  <w:style w:type="paragraph" w:customStyle="1" w:styleId="79">
    <w:name w:val="Char12 Char Char Char"/>
    <w:basedOn w:val="1"/>
    <w:autoRedefine/>
    <w:qFormat/>
    <w:uiPriority w:val="0"/>
  </w:style>
  <w:style w:type="character" w:customStyle="1" w:styleId="80">
    <w:name w:val="文档结构图 字符"/>
    <w:basedOn w:val="37"/>
    <w:link w:val="8"/>
    <w:autoRedefine/>
    <w:qFormat/>
    <w:uiPriority w:val="0"/>
    <w:rPr>
      <w:rFonts w:ascii="Times New Roman" w:hAnsi="Times New Roman" w:eastAsia="宋体" w:cs="Times New Roman"/>
      <w:szCs w:val="20"/>
      <w:shd w:val="clear" w:color="auto" w:fill="000080"/>
    </w:rPr>
  </w:style>
  <w:style w:type="character" w:customStyle="1" w:styleId="81">
    <w:name w:val="style29"/>
    <w:autoRedefine/>
    <w:qFormat/>
    <w:uiPriority w:val="0"/>
  </w:style>
  <w:style w:type="character" w:customStyle="1" w:styleId="82">
    <w:name w:val="正文1"/>
    <w:autoRedefine/>
    <w:qFormat/>
    <w:uiPriority w:val="0"/>
  </w:style>
  <w:style w:type="character" w:customStyle="1" w:styleId="83">
    <w:name w:val="font11"/>
    <w:autoRedefine/>
    <w:qFormat/>
    <w:uiPriority w:val="0"/>
    <w:rPr>
      <w:rFonts w:hint="default" w:ascii="Times New Roman" w:hAnsi="Times New Roman" w:cs="Times New Roman"/>
      <w:color w:val="3366FF"/>
      <w:sz w:val="24"/>
      <w:szCs w:val="24"/>
      <w:u w:val="none"/>
    </w:rPr>
  </w:style>
  <w:style w:type="character" w:customStyle="1" w:styleId="84">
    <w:name w:val="font21"/>
    <w:autoRedefine/>
    <w:qFormat/>
    <w:uiPriority w:val="0"/>
    <w:rPr>
      <w:rFonts w:hint="eastAsia" w:ascii="宋体" w:hAnsi="宋体" w:eastAsia="宋体"/>
      <w:color w:val="3366FF"/>
      <w:sz w:val="24"/>
      <w:szCs w:val="24"/>
      <w:u w:val="none"/>
    </w:rPr>
  </w:style>
  <w:style w:type="paragraph" w:customStyle="1" w:styleId="85">
    <w:name w:val="Char Char15"/>
    <w:basedOn w:val="1"/>
    <w:autoRedefine/>
    <w:qFormat/>
    <w:uiPriority w:val="0"/>
    <w:rPr>
      <w:rFonts w:ascii="Tahoma" w:hAnsi="Tahoma" w:eastAsia="仿宋_GB2312"/>
      <w:sz w:val="24"/>
    </w:rPr>
  </w:style>
  <w:style w:type="paragraph" w:customStyle="1" w:styleId="86">
    <w:name w:val="列出段落1"/>
    <w:basedOn w:val="1"/>
    <w:autoRedefine/>
    <w:qFormat/>
    <w:uiPriority w:val="0"/>
    <w:pPr>
      <w:ind w:firstLine="420" w:firstLineChars="200"/>
    </w:pPr>
    <w:rPr>
      <w:rFonts w:ascii="Calibri" w:hAnsi="Calibri"/>
      <w:szCs w:val="22"/>
    </w:rPr>
  </w:style>
  <w:style w:type="paragraph" w:customStyle="1" w:styleId="87">
    <w:name w:val="Char2"/>
    <w:basedOn w:val="1"/>
    <w:autoRedefine/>
    <w:qFormat/>
    <w:uiPriority w:val="0"/>
    <w:pPr>
      <w:tabs>
        <w:tab w:val="left" w:pos="360"/>
      </w:tabs>
    </w:pPr>
    <w:rPr>
      <w:sz w:val="24"/>
      <w:szCs w:val="24"/>
    </w:rPr>
  </w:style>
  <w:style w:type="paragraph" w:customStyle="1" w:styleId="88">
    <w:name w:val="Char16"/>
    <w:basedOn w:val="1"/>
    <w:autoRedefine/>
    <w:qFormat/>
    <w:uiPriority w:val="0"/>
    <w:rPr>
      <w:rFonts w:ascii="Tahoma" w:hAnsi="Tahoma" w:eastAsia="仿宋_GB2312"/>
      <w:sz w:val="24"/>
    </w:rPr>
  </w:style>
  <w:style w:type="paragraph" w:customStyle="1" w:styleId="89">
    <w:name w:val="Char Char1"/>
    <w:basedOn w:val="1"/>
    <w:autoRedefine/>
    <w:qFormat/>
    <w:uiPriority w:val="0"/>
    <w:rPr>
      <w:rFonts w:ascii="Tahoma" w:hAnsi="Tahoma"/>
      <w:sz w:val="24"/>
    </w:rPr>
  </w:style>
  <w:style w:type="paragraph" w:customStyle="1" w:styleId="90">
    <w:name w:val="Char Char Char Char Char Char Char"/>
    <w:basedOn w:val="1"/>
    <w:autoRedefine/>
    <w:qFormat/>
    <w:uiPriority w:val="0"/>
    <w:rPr>
      <w:szCs w:val="24"/>
    </w:rPr>
  </w:style>
  <w:style w:type="paragraph" w:customStyle="1" w:styleId="91">
    <w:name w:val="Char Char"/>
    <w:basedOn w:val="1"/>
    <w:autoRedefine/>
    <w:qFormat/>
    <w:uiPriority w:val="0"/>
    <w:rPr>
      <w:rFonts w:ascii="Tahoma" w:hAnsi="Tahoma" w:cs="仿宋_GB2312"/>
      <w:sz w:val="24"/>
    </w:rPr>
  </w:style>
  <w:style w:type="paragraph" w:customStyle="1" w:styleId="92">
    <w:name w:val="Char Char2"/>
    <w:basedOn w:val="1"/>
    <w:autoRedefine/>
    <w:qFormat/>
    <w:uiPriority w:val="0"/>
    <w:rPr>
      <w:rFonts w:ascii="Tahoma" w:hAnsi="Tahoma" w:cs="仿宋_GB2312"/>
      <w:sz w:val="24"/>
    </w:rPr>
  </w:style>
  <w:style w:type="paragraph" w:customStyle="1" w:styleId="93">
    <w:name w:val="Char Char Char1"/>
    <w:basedOn w:val="1"/>
    <w:autoRedefine/>
    <w:qFormat/>
    <w:uiPriority w:val="0"/>
    <w:rPr>
      <w:rFonts w:ascii="Tahoma" w:hAnsi="Tahoma"/>
      <w:sz w:val="24"/>
    </w:rPr>
  </w:style>
  <w:style w:type="paragraph" w:customStyle="1" w:styleId="94">
    <w:name w:val="D&amp;L"/>
    <w:basedOn w:val="23"/>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5">
    <w:name w:val="正文文本 3 字符"/>
    <w:basedOn w:val="37"/>
    <w:link w:val="10"/>
    <w:autoRedefine/>
    <w:qFormat/>
    <w:uiPriority w:val="99"/>
    <w:rPr>
      <w:rFonts w:ascii="Calibri" w:hAnsi="Calibri" w:eastAsia="宋体" w:cs="Times New Roman"/>
      <w:sz w:val="16"/>
      <w:szCs w:val="16"/>
      <w:lang w:val="zh-CN" w:eastAsia="zh-CN"/>
    </w:rPr>
  </w:style>
  <w:style w:type="paragraph" w:customStyle="1" w:styleId="96">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7">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8">
    <w:name w:val="style23"/>
    <w:autoRedefine/>
    <w:qFormat/>
    <w:uiPriority w:val="0"/>
    <w:rPr>
      <w:rFonts w:ascii="Times New Roman" w:hAnsi="Times New Roman" w:eastAsia="宋体"/>
    </w:rPr>
  </w:style>
  <w:style w:type="paragraph" w:customStyle="1" w:styleId="99">
    <w:name w:val="p0"/>
    <w:basedOn w:val="1"/>
    <w:autoRedefine/>
    <w:qFormat/>
    <w:uiPriority w:val="0"/>
    <w:pPr>
      <w:widowControl/>
      <w:jc w:val="left"/>
    </w:pPr>
    <w:rPr>
      <w:rFonts w:ascii="等线" w:hAnsi="等线" w:eastAsia="等线" w:cs="等线"/>
      <w:kern w:val="0"/>
      <w:sz w:val="20"/>
      <w:szCs w:val="22"/>
    </w:rPr>
  </w:style>
  <w:style w:type="paragraph" w:customStyle="1" w:styleId="100">
    <w:name w:val="列表段落1"/>
    <w:basedOn w:val="1"/>
    <w:autoRedefine/>
    <w:qFormat/>
    <w:uiPriority w:val="34"/>
    <w:pPr>
      <w:ind w:firstLine="420" w:firstLineChars="200"/>
    </w:pPr>
    <w:rPr>
      <w:szCs w:val="24"/>
    </w:rPr>
  </w:style>
  <w:style w:type="paragraph" w:customStyle="1" w:styleId="101">
    <w:name w:val="y-正文"/>
    <w:basedOn w:val="1"/>
    <w:autoRedefine/>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customStyle="1" w:styleId="102">
    <w:name w:val="Table Paragraph"/>
    <w:basedOn w:val="1"/>
    <w:autoRedefine/>
    <w:qFormat/>
    <w:uiPriority w:val="1"/>
  </w:style>
  <w:style w:type="character" w:customStyle="1" w:styleId="103">
    <w:name w:val="标题 2 字符"/>
    <w:link w:val="3"/>
    <w:autoRedefine/>
    <w:qFormat/>
    <w:uiPriority w:val="0"/>
    <w:rPr>
      <w:rFonts w:ascii="Arial" w:hAnsi="Arial" w:eastAsia="黑体"/>
      <w:b/>
      <w:bCs/>
      <w:sz w:val="32"/>
      <w:szCs w:val="32"/>
    </w:rPr>
  </w:style>
  <w:style w:type="paragraph" w:styleId="104">
    <w:name w:val="List Paragraph"/>
    <w:basedOn w:val="1"/>
    <w:autoRedefine/>
    <w:qFormat/>
    <w:uiPriority w:val="99"/>
    <w:pPr>
      <w:ind w:firstLine="420" w:firstLineChars="200"/>
    </w:pPr>
  </w:style>
  <w:style w:type="table" w:customStyle="1" w:styleId="105">
    <w:name w:val="Table Normal"/>
    <w:autoRedefine/>
    <w:semiHidden/>
    <w:unhideWhenUsed/>
    <w:qFormat/>
    <w:uiPriority w:val="0"/>
    <w:rPr>
      <w:rFonts w:ascii="Arial" w:hAnsi="Arial" w:cs="Arial"/>
    </w:rPr>
    <w:tblPr>
      <w:tblCellMar>
        <w:top w:w="0" w:type="dxa"/>
        <w:left w:w="0" w:type="dxa"/>
        <w:bottom w:w="0" w:type="dxa"/>
        <w:right w:w="0" w:type="dxa"/>
      </w:tblCellMar>
    </w:tblPr>
  </w:style>
  <w:style w:type="paragraph" w:customStyle="1" w:styleId="106">
    <w:name w:val="正文文本1"/>
    <w:basedOn w:val="1"/>
    <w:autoRedefine/>
    <w:qFormat/>
    <w:uiPriority w:val="0"/>
    <w:pPr>
      <w:ind w:left="111"/>
      <w:jc w:val="left"/>
    </w:pPr>
    <w:rPr>
      <w:rFonts w:ascii="仿宋_GB2312" w:hAnsi="仿宋_GB2312" w:eastAsia="仿宋_GB2312"/>
      <w:kern w:val="0"/>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29</Pages>
  <Words>10983</Words>
  <Characters>11525</Characters>
  <Lines>177</Lines>
  <Paragraphs>49</Paragraphs>
  <TotalTime>307</TotalTime>
  <ScaleCrop>false</ScaleCrop>
  <LinksUpToDate>false</LinksUpToDate>
  <CharactersWithSpaces>12410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2017-04-19T23:21:00Z</dcterms:created>
  <dc:creator>朱少尉</dc:creator>
  <cp:lastModifiedBy>郑玲玲</cp:lastModifiedBy>
  <cp:lastPrinted>2022-12-28T01:36:00Z</cp:lastPrinted>
  <dcterms:modified xsi:type="dcterms:W3CDTF">2024-03-20T02:03:51Z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34BA6743F72A4AB781A0B2B708D1DEC3_13</vt:lpwstr>
  </property>
</Properties>
</file>